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AC" w:rsidRDefault="00644B2A">
      <w:pPr>
        <w:ind w:firstLine="720"/>
        <w:jc w:val="right"/>
      </w:pPr>
      <w:r>
        <w:rPr>
          <w:rFonts w:ascii="Calibri" w:hAnsi="Calibri" w:cs="Calibri"/>
          <w:b/>
          <w:bCs/>
          <w:sz w:val="22"/>
          <w:szCs w:val="22"/>
          <w:lang w:val="ru-RU"/>
        </w:rPr>
        <w:t>Приложение 1</w:t>
      </w:r>
    </w:p>
    <w:p w:rsidR="007453AC" w:rsidRDefault="00644B2A">
      <w:pPr>
        <w:spacing w:before="240"/>
        <w:jc w:val="center"/>
      </w:pPr>
      <w:r>
        <w:rPr>
          <w:rFonts w:ascii="Calibri" w:hAnsi="Calibri" w:cs="Calibri"/>
          <w:b/>
          <w:bCs/>
          <w:sz w:val="22"/>
          <w:szCs w:val="22"/>
          <w:lang w:val="ru-RU"/>
        </w:rPr>
        <w:t>Описание требований к предложению</w:t>
      </w:r>
    </w:p>
    <w:p w:rsidR="007453AC" w:rsidRDefault="007453AC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</w:p>
    <w:tbl>
      <w:tblPr>
        <w:tblW w:w="95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701"/>
      </w:tblGrid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Название предложения</w:t>
            </w:r>
          </w:p>
          <w:p w:rsidR="007453AC" w:rsidRDefault="007453AC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 xml:space="preserve">Создание общинных услуг для людей с ограниченными возможностями г. </w:t>
            </w:r>
            <w:r w:rsidR="00604386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Рыбница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 xml:space="preserve"> и г. </w:t>
            </w:r>
            <w:proofErr w:type="spellStart"/>
            <w:r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Слобозия</w:t>
            </w:r>
            <w:proofErr w:type="spellEnd"/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Общая цель и Задачи предложений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Цель предложений должна заключается в оказании поддержки организациям гражданского общества в г. </w:t>
            </w:r>
            <w:r w:rsidR="00604386">
              <w:rPr>
                <w:rFonts w:ascii="Calibri" w:hAnsi="Calibri" w:cs="Calibri"/>
                <w:sz w:val="22"/>
                <w:szCs w:val="22"/>
                <w:lang w:val="ru-RU"/>
              </w:rPr>
              <w:t>Рыбница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г.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Слобозия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развитии общинных услуг для людей с ограниченными возможностями, в следующих областях:</w:t>
            </w:r>
          </w:p>
          <w:p w:rsidR="007453AC" w:rsidRDefault="00644B2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Оказание психологической поддержки от равного к равному</w:t>
            </w:r>
          </w:p>
          <w:p w:rsidR="007453AC" w:rsidRDefault="00644B2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ru-RU"/>
              </w:rPr>
              <w:t xml:space="preserve">Оказание юридической помощи от равного к равному </w:t>
            </w:r>
          </w:p>
          <w:p w:rsidR="007453AC" w:rsidRDefault="00644B2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Предоставление услуг поддерживаемого трудоустройства от равног</w:t>
            </w:r>
            <w:bookmarkStart w:id="0" w:name="_GoBack"/>
            <w:bookmarkEnd w:id="0"/>
            <w:r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о к равному</w:t>
            </w:r>
          </w:p>
          <w:p w:rsidR="007453AC" w:rsidRDefault="00644B2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Услуги, предоставляемые в рамках проектов, будут бесплатными.</w:t>
            </w:r>
          </w:p>
          <w:p w:rsidR="007453AC" w:rsidRPr="00D535E4" w:rsidRDefault="00644B2A">
            <w:pPr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Каждая НПО может подать заявку на разработку одного, двух или всех трех услуг.</w:t>
            </w: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Организации, имеющие право подать заявку</w:t>
            </w:r>
          </w:p>
          <w:p w:rsidR="007453AC" w:rsidRDefault="007453AC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Субъекты, подающие проектные предложения, должны отвечать следующим критериям:</w:t>
            </w:r>
          </w:p>
          <w:p w:rsidR="007453AC" w:rsidRDefault="00644B2A">
            <w:pPr>
              <w:autoSpaceDE w:val="0"/>
              <w:spacing w:before="24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 НПО или партнерство двух, или более некоммерческих организаций, представляющих интересы ЛОВ или предоставляющих услуги для ЛОВ (одна из которых в обязательном порядке должна быть зарегистрирована в Министерстве Юстиции Республики Молдова).</w:t>
            </w:r>
          </w:p>
          <w:p w:rsidR="007453AC" w:rsidRDefault="00644B2A">
            <w:pPr>
              <w:autoSpaceDE w:val="0"/>
              <w:spacing w:before="24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 Руководитель НПО, другие члены управления или члены команды, внедряющей услуги, должны быть представителями ЛОВ;</w:t>
            </w:r>
          </w:p>
          <w:p w:rsidR="007453AC" w:rsidRDefault="00644B2A">
            <w:pPr>
              <w:autoSpaceDE w:val="0"/>
              <w:spacing w:before="24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 НПО, участвовавшие в тренингах, организованных УВКПЧ по правам ЛОВ, будут иметь преимущество при отборе;</w:t>
            </w:r>
          </w:p>
          <w:p w:rsidR="007453AC" w:rsidRDefault="00644B2A">
            <w:pPr>
              <w:autoSpaceDE w:val="0"/>
              <w:spacing w:before="24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- Доказанное партнерство с органами местной администрации, где планируется внедрение услуг, посредством соглашения о сотрудничестве будет считаться сильным преимуществом. </w:t>
            </w:r>
          </w:p>
          <w:p w:rsidR="007453AC" w:rsidRDefault="007453A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bookmarkStart w:id="1" w:name="_Hlk505176067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Минимальные критерии </w:t>
            </w:r>
            <w:bookmarkEnd w:id="1"/>
            <w:r>
              <w:rPr>
                <w:rFonts w:ascii="Calibri" w:hAnsi="Calibri" w:cs="Calibri"/>
                <w:sz w:val="22"/>
                <w:szCs w:val="22"/>
                <w:lang w:val="ru-RU"/>
              </w:rPr>
              <w:t>отбора заявок на финансирование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 минимум 3 года деятельности в области Прав Человека;</w:t>
            </w:r>
          </w:p>
          <w:p w:rsidR="007453AC" w:rsidRDefault="00644B2A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 опыт работы в области Прав Человека или социальной сфере на левом берегу Днестра;</w:t>
            </w:r>
          </w:p>
          <w:p w:rsidR="007453AC" w:rsidRDefault="00644B2A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 регистрация в Министерстве Юстиции Республики Молдова</w:t>
            </w: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Calibri" w:hAnsi="Calibri" w:cs="Calibri"/>
                <w:sz w:val="22"/>
                <w:szCs w:val="22"/>
                <w:lang w:val="ru-RU"/>
              </w:rPr>
              <w:t>Мероприятия и ожидаемые результаты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  <w:lang w:val="ru-RU"/>
              </w:rPr>
              <w:footnoteReference w:id="1"/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bCs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  <w:lang w:val="ru-RU"/>
              </w:rPr>
              <w:t xml:space="preserve">В рамках данного Запроса Предложений ожидается получение предложений по развитию одного или всех нижеописанных типов общинных услуг, а именно: </w:t>
            </w:r>
          </w:p>
          <w:p w:rsidR="007453AC" w:rsidRPr="00D535E4" w:rsidRDefault="00644B2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Развитие общинных услуг для людей с ограниченными возможностями для </w:t>
            </w:r>
            <w:r>
              <w:rPr>
                <w:rFonts w:ascii="Calibri" w:hAnsi="Calibri" w:cs="Calibri"/>
                <w:i/>
                <w:szCs w:val="22"/>
                <w:lang w:val="ru-RU"/>
              </w:rPr>
              <w:t>оказания психологической поддержки от равного к равному;</w:t>
            </w:r>
          </w:p>
          <w:p w:rsidR="007453AC" w:rsidRPr="00D535E4" w:rsidRDefault="00644B2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развить общинные услуги для людей с ограниченными возможностями для </w:t>
            </w:r>
            <w:r>
              <w:rPr>
                <w:rFonts w:ascii="Calibri" w:hAnsi="Calibri" w:cs="Calibri"/>
                <w:i/>
                <w:szCs w:val="22"/>
                <w:lang w:val="ru-RU"/>
              </w:rPr>
              <w:t>оказания юридической помощи</w:t>
            </w:r>
            <w:r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i/>
                <w:szCs w:val="22"/>
                <w:lang w:val="ru-RU"/>
              </w:rPr>
              <w:t>от равного к равному;</w:t>
            </w:r>
          </w:p>
          <w:p w:rsidR="007453AC" w:rsidRPr="00D535E4" w:rsidRDefault="00644B2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общинные услуги для людей с ограниченными возможностями для </w:t>
            </w:r>
            <w:r>
              <w:rPr>
                <w:rFonts w:ascii="Calibri" w:hAnsi="Calibri" w:cs="Calibri"/>
                <w:i/>
                <w:szCs w:val="22"/>
                <w:lang w:val="ru-RU"/>
              </w:rPr>
              <w:t xml:space="preserve">поддерживаемого трудоустройства для ЛОВ </w:t>
            </w:r>
            <w:r>
              <w:rPr>
                <w:rFonts w:ascii="Calibri" w:hAnsi="Calibri" w:cs="Calibri"/>
                <w:i/>
                <w:szCs w:val="22"/>
                <w:lang w:val="ru-RU"/>
              </w:rPr>
              <w:lastRenderedPageBreak/>
              <w:t>от равного к равному</w:t>
            </w:r>
          </w:p>
          <w:p w:rsidR="007453AC" w:rsidRDefault="007453AC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bCs/>
                <w:color w:val="000000"/>
                <w:szCs w:val="22"/>
                <w:lang w:val="ru-RU"/>
              </w:rPr>
            </w:pP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Мониторинг работ / достигнутых результатов будет проведен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pStyle w:val="ListParagraph"/>
              <w:spacing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Координатор образовательных и мобилизационных мероприятий для людей с ограниченными возможностями</w:t>
            </w: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Предоставление отчетов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Отчеты должны быть предоставлены дважды:</w:t>
            </w:r>
          </w:p>
          <w:p w:rsidR="007453AC" w:rsidRDefault="00644B2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Calibri" w:hAnsi="Calibri" w:cs="Calibri"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>для получения 2-го транша, через 1 месяц после подписания контракта;</w:t>
            </w:r>
          </w:p>
          <w:p w:rsidR="007453AC" w:rsidRPr="00D535E4" w:rsidRDefault="00644B2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 xml:space="preserve">финальный, за 2 недели до окончания внедрения проекта (в соответствии с контрактом) </w:t>
            </w: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Calibri" w:hAnsi="Calibri" w:cs="Calibri"/>
                <w:sz w:val="22"/>
                <w:szCs w:val="22"/>
                <w:lang w:val="ru-RU"/>
              </w:rPr>
              <w:t>Требования к отчетности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Отчеты должны быть:</w:t>
            </w:r>
          </w:p>
          <w:p w:rsidR="007453AC" w:rsidRPr="00D535E4" w:rsidRDefault="00644B2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4"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szCs w:val="22"/>
                <w:lang w:val="ru-RU"/>
              </w:rPr>
              <w:t>наративный</w:t>
            </w:r>
            <w:proofErr w:type="spellEnd"/>
            <w:r>
              <w:rPr>
                <w:rFonts w:ascii="Calibri" w:hAnsi="Calibri" w:cs="Calibri"/>
                <w:bCs/>
                <w:szCs w:val="22"/>
                <w:lang w:val="ru-RU"/>
              </w:rPr>
              <w:t xml:space="preserve">, с описанием </w:t>
            </w:r>
            <w:proofErr w:type="spellStart"/>
            <w:r>
              <w:rPr>
                <w:rFonts w:ascii="Calibri" w:hAnsi="Calibri" w:cs="Calibri"/>
                <w:bCs/>
                <w:szCs w:val="22"/>
                <w:lang w:val="ru-RU"/>
              </w:rPr>
              <w:t>выполненых</w:t>
            </w:r>
            <w:proofErr w:type="spellEnd"/>
            <w:r>
              <w:rPr>
                <w:rFonts w:ascii="Calibri" w:hAnsi="Calibri" w:cs="Calibri"/>
                <w:bCs/>
                <w:szCs w:val="22"/>
                <w:lang w:val="ru-RU"/>
              </w:rPr>
              <w:t xml:space="preserve"> работ, достигнутых результатов, а также описать как внедренные услуги улучшили жизнь и деятельность ЛОВ (указать их количество, типы ОВ, сколько из них мужчин и сколько женщин);</w:t>
            </w:r>
          </w:p>
          <w:p w:rsidR="007453AC" w:rsidRPr="00604386" w:rsidRDefault="00644B2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4" w:firstLine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  <w:lang w:val="ru-RU"/>
              </w:rPr>
              <w:t>финансовый</w:t>
            </w:r>
            <w:r>
              <w:rPr>
                <w:rFonts w:ascii="Calibri" w:hAnsi="Calibri" w:cs="Calibri"/>
                <w:bCs/>
                <w:szCs w:val="22"/>
                <w:lang w:val="ru-RU"/>
              </w:rPr>
              <w:t>, который будет содержать отчеты по каждой бюджетной линии, а также все затраты подтверждены контрактами, накладными и другими документами финансовой отчетности. В случае организации мероприятий, к отчету о затратах должны прилагаться списки участников, программа мероприятия и меню (в случае арендной платы – договор или финансовое предложение от организации, предоставляющей помещение).</w:t>
            </w:r>
          </w:p>
          <w:p w:rsidR="007453AC" w:rsidRDefault="007453A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Сроки внедрения проекта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Мероприятия в рамках проекта должны начаться в апреле 2018 г. и услуги должны быть запущены к концу мая 2018 года</w:t>
            </w:r>
          </w:p>
          <w:p w:rsidR="007453AC" w:rsidRDefault="007453A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7453A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Дата начала работ, подписания контракта: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19 апреля 2018</w:t>
            </w:r>
          </w:p>
          <w:p w:rsidR="007453AC" w:rsidRDefault="007453A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7453A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Calibri" w:hAnsi="Calibri" w:cs="Calibri"/>
                <w:sz w:val="22"/>
                <w:szCs w:val="22"/>
                <w:lang w:val="ru-RU"/>
              </w:rPr>
              <w:t>Дата окончания работ: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19 июня 2018</w:t>
            </w:r>
          </w:p>
          <w:p w:rsidR="007453AC" w:rsidRDefault="007453A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Оборудование, которое предоставит ПРООН/УВКПЧ (</w:t>
            </w:r>
            <w:r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т. е. оно должно быть исключено из ценового предложения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Помещение для офиса</w:t>
            </w:r>
          </w:p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Мебель для офиса</w:t>
            </w:r>
          </w:p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Наземный транспорт </w:t>
            </w:r>
          </w:p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Оборудование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(каждый центр развития общинных услуг получит 2 компьютера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desk-top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>), UPS и 1 принтер)</w:t>
            </w:r>
          </w:p>
          <w:p w:rsidR="007453AC" w:rsidRDefault="007453AC">
            <w:pPr>
              <w:ind w:left="432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7453A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Calibri" w:hAnsi="Calibri" w:cs="Calibri"/>
                <w:sz w:val="22"/>
                <w:szCs w:val="22"/>
                <w:lang w:val="ru-RU"/>
              </w:rPr>
              <w:t>График проведения мероприятий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  <w:lang w:val="ru-RU"/>
              </w:rPr>
              <w:footnoteReference w:id="2"/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Необходим</w:t>
            </w:r>
          </w:p>
          <w:p w:rsidR="007453AC" w:rsidRDefault="00644B2A"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Не необходим</w:t>
            </w:r>
          </w:p>
          <w:p w:rsidR="007453AC" w:rsidRDefault="007453AC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7453A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Имена и CV лиц, которые будут участвовать в выполнении услуг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Необходимо</w:t>
            </w:r>
          </w:p>
          <w:p w:rsidR="007453AC" w:rsidRDefault="00644B2A"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Не необходимо</w:t>
            </w:r>
          </w:p>
        </w:tc>
      </w:tr>
      <w:tr w:rsidR="007453A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Calibri" w:hAnsi="Calibri" w:cs="Calibri"/>
                <w:sz w:val="22"/>
                <w:szCs w:val="22"/>
                <w:lang w:val="ru-RU"/>
              </w:rPr>
              <w:t>Валюта финансового предложения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pStyle w:val="BankNormal"/>
              <w:spacing w:after="0"/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Доллары США</w:t>
            </w:r>
          </w:p>
          <w:p w:rsidR="007453AC" w:rsidRDefault="00644B2A">
            <w:pPr>
              <w:pStyle w:val="BankNormal"/>
              <w:spacing w:after="0"/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Евро</w:t>
            </w:r>
          </w:p>
          <w:p w:rsidR="007453AC" w:rsidRDefault="00644B2A">
            <w:pPr>
              <w:pStyle w:val="BankNormal"/>
              <w:spacing w:after="0"/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Местная валюта</w:t>
            </w:r>
          </w:p>
          <w:p w:rsidR="007453AC" w:rsidRDefault="007453AC">
            <w:pPr>
              <w:pStyle w:val="BankNormal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Налог на добавленную стоимость по ценовому предложению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  <w:lang w:val="ru-RU"/>
              </w:rPr>
              <w:footnoteReference w:id="3"/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должны включать НДС и другие применимые косвенные налоги</w:t>
            </w:r>
          </w:p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не должны включать НДС и другие применимые косвенные налоги</w:t>
            </w:r>
          </w:p>
          <w:p w:rsidR="007453AC" w:rsidRDefault="007453AC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Срок действия Конкурсных предложений (</w:t>
            </w:r>
            <w:r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рассчитывается с последнего дня подачи заявки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ind w:left="432" w:hanging="360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60 дней </w:t>
            </w:r>
          </w:p>
          <w:p w:rsidR="007453AC" w:rsidRPr="00D535E4" w:rsidRDefault="00644B2A">
            <w:pPr>
              <w:ind w:left="432" w:hanging="360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iCs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90 дней</w:t>
            </w:r>
          </w:p>
          <w:p w:rsidR="007453AC" w:rsidRPr="00D535E4" w:rsidRDefault="00644B2A">
            <w:pPr>
              <w:ind w:left="432" w:hanging="360"/>
              <w:jc w:val="both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iCs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120 дней</w:t>
            </w:r>
          </w:p>
          <w:p w:rsidR="007453AC" w:rsidRPr="00D535E4" w:rsidRDefault="00644B2A">
            <w:pPr>
              <w:ind w:left="72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 исключительных случаях ПРООН может запросить продление срока действия контракта, и, таким образом, Предложение будет в письменной форме подтверждать продление срока, без каких-либо изменений в остальном содержании предложения.</w:t>
            </w: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Style w:val="shorttext"/>
                <w:rFonts w:ascii="Calibri" w:hAnsi="Calibri" w:cs="Calibri"/>
                <w:sz w:val="22"/>
                <w:szCs w:val="22"/>
                <w:lang w:val="ru-RU"/>
              </w:rPr>
              <w:t>Частичные котировки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ind w:left="432" w:hanging="360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Не допустимы</w:t>
            </w:r>
          </w:p>
          <w:p w:rsidR="007453AC" w:rsidRPr="00D535E4" w:rsidRDefault="00644B2A">
            <w:pPr>
              <w:ind w:left="432" w:hanging="360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iCs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Допустимы (</w:t>
            </w:r>
            <w:r>
              <w:rPr>
                <w:rFonts w:ascii="Calibri" w:eastAsia="MS Gothic" w:hAnsi="Calibri" w:cs="Calibri"/>
                <w:i/>
                <w:iCs/>
                <w:sz w:val="22"/>
                <w:szCs w:val="22"/>
                <w:lang w:val="ru-RU"/>
              </w:rPr>
              <w:t>в случае предложения на внедрение одного типа услуг)</w:t>
            </w: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Calibri" w:hAnsi="Calibri" w:cs="Calibri"/>
                <w:sz w:val="22"/>
                <w:szCs w:val="22"/>
                <w:lang w:val="ru-RU"/>
              </w:rPr>
              <w:t>Условия оплаты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44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69"/>
              <w:gridCol w:w="1467"/>
              <w:gridCol w:w="1339"/>
              <w:gridCol w:w="2173"/>
            </w:tblGrid>
            <w:tr w:rsidR="007453AC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644B2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  <w:t>Результат/</w:t>
                  </w:r>
                </w:p>
                <w:p w:rsidR="007453AC" w:rsidRDefault="00644B2A">
                  <w:pPr>
                    <w:jc w:val="center"/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  <w:t>достижение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644B2A">
                  <w:pPr>
                    <w:jc w:val="center"/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  <w:t>Процент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644B2A">
                  <w:pPr>
                    <w:jc w:val="center"/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  <w:t>Сроки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644B2A">
                  <w:pPr>
                    <w:jc w:val="center"/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  <w:t>Условия для проведения оплаты</w:t>
                  </w:r>
                </w:p>
              </w:tc>
            </w:tr>
            <w:tr w:rsidR="007453AC" w:rsidRPr="0060438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Pr="00D535E4" w:rsidRDefault="00644B2A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Calibri" w:hAnsi="Calibri" w:cs="Calibri"/>
                      <w:bCs/>
                      <w:lang w:val="ru-RU"/>
                    </w:rPr>
                    <w:t xml:space="preserve">Предложение, отобранное </w:t>
                  </w:r>
                  <w:r>
                    <w:rPr>
                      <w:rFonts w:ascii="Calibri" w:hAnsi="Calibri" w:cs="Calibri"/>
                      <w:lang w:val="ru-RU"/>
                    </w:rPr>
                    <w:t>ПРООН/УВКПЧ для внедрения общинных услуг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644B2A">
                  <w:pPr>
                    <w:jc w:val="center"/>
                    <w:rPr>
                      <w:rFonts w:ascii="Calibri" w:hAnsi="Calibri" w:cs="Calibri"/>
                      <w:bCs/>
                      <w:lang w:val="ru-RU"/>
                    </w:rPr>
                  </w:pPr>
                  <w:r>
                    <w:rPr>
                      <w:rFonts w:ascii="Calibri" w:hAnsi="Calibri" w:cs="Calibri"/>
                      <w:bCs/>
                      <w:lang w:val="ru-RU"/>
                    </w:rPr>
                    <w:t>60%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644B2A">
                  <w:pPr>
                    <w:jc w:val="both"/>
                    <w:rPr>
                      <w:rFonts w:ascii="Calibri" w:hAnsi="Calibri" w:cs="Calibri"/>
                      <w:bCs/>
                      <w:lang w:val="ru-RU"/>
                    </w:rPr>
                  </w:pPr>
                  <w:r>
                    <w:rPr>
                      <w:rFonts w:ascii="Calibri" w:hAnsi="Calibri" w:cs="Calibri"/>
                      <w:bCs/>
                      <w:lang w:val="ru-RU"/>
                    </w:rPr>
                    <w:t>Дата подписания контракта</w:t>
                  </w:r>
                </w:p>
                <w:p w:rsidR="007453AC" w:rsidRDefault="007453AC">
                  <w:pPr>
                    <w:jc w:val="both"/>
                    <w:rPr>
                      <w:rFonts w:ascii="Calibri" w:hAnsi="Calibri" w:cs="Calibri"/>
                      <w:bCs/>
                      <w:lang w:val="ru-RU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Pr="00D535E4" w:rsidRDefault="00644B2A">
                  <w:pPr>
                    <w:numPr>
                      <w:ilvl w:val="0"/>
                      <w:numId w:val="5"/>
                    </w:numPr>
                    <w:ind w:left="0" w:firstLine="0"/>
                    <w:rPr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Получение счета на оплату от поставщика услуг</w:t>
                  </w:r>
                </w:p>
              </w:tc>
            </w:tr>
            <w:tr w:rsidR="007453AC" w:rsidRPr="00604386">
              <w:trPr>
                <w:trHeight w:val="593"/>
              </w:trPr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7453AC">
                  <w:pPr>
                    <w:jc w:val="both"/>
                    <w:rPr>
                      <w:rFonts w:ascii="Calibri" w:hAnsi="Calibri" w:cs="Calibri"/>
                      <w:bCs/>
                      <w:lang w:val="ru-RU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644B2A">
                  <w:pPr>
                    <w:jc w:val="center"/>
                    <w:rPr>
                      <w:rFonts w:ascii="Calibri" w:hAnsi="Calibri" w:cs="Calibri"/>
                      <w:bCs/>
                      <w:lang w:val="ru-RU"/>
                    </w:rPr>
                  </w:pPr>
                  <w:r>
                    <w:rPr>
                      <w:rFonts w:ascii="Calibri" w:hAnsi="Calibri" w:cs="Calibri"/>
                      <w:bCs/>
                      <w:lang w:val="ru-RU"/>
                    </w:rPr>
                    <w:t>30%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644B2A">
                  <w:pPr>
                    <w:jc w:val="both"/>
                    <w:rPr>
                      <w:rFonts w:ascii="Calibri" w:hAnsi="Calibri" w:cs="Calibri"/>
                      <w:bCs/>
                      <w:lang w:val="ru-RU"/>
                    </w:rPr>
                  </w:pPr>
                  <w:r>
                    <w:rPr>
                      <w:rFonts w:ascii="Calibri" w:hAnsi="Calibri" w:cs="Calibri"/>
                      <w:bCs/>
                      <w:lang w:val="ru-RU"/>
                    </w:rPr>
                    <w:t>21 мая 2018</w:t>
                  </w:r>
                </w:p>
                <w:p w:rsidR="007453AC" w:rsidRDefault="007453AC">
                  <w:pPr>
                    <w:jc w:val="both"/>
                    <w:rPr>
                      <w:rFonts w:ascii="Calibri" w:hAnsi="Calibri" w:cs="Calibri"/>
                      <w:bCs/>
                      <w:lang w:val="ru-RU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Pr="00D535E4" w:rsidRDefault="00644B2A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В течение 10 дней после выполнения следующих требований:</w:t>
                  </w:r>
                </w:p>
                <w:p w:rsidR="007453AC" w:rsidRDefault="00644B2A">
                  <w:pPr>
                    <w:numPr>
                      <w:ilvl w:val="0"/>
                      <w:numId w:val="5"/>
                    </w:numPr>
                    <w:ind w:left="0" w:firstLine="0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 xml:space="preserve">Письменное согласие и принятие ПРООН/УВКПЧ (т. е. не просто получение) качества результатов; а также </w:t>
                  </w:r>
                </w:p>
                <w:p w:rsidR="007453AC" w:rsidRPr="00D535E4" w:rsidRDefault="00644B2A">
                  <w:pPr>
                    <w:numPr>
                      <w:ilvl w:val="0"/>
                      <w:numId w:val="5"/>
                    </w:numPr>
                    <w:ind w:left="0" w:firstLine="0"/>
                    <w:rPr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Получение счета на оплату от поставщика услуг</w:t>
                  </w:r>
                </w:p>
              </w:tc>
            </w:tr>
            <w:tr w:rsidR="007453AC" w:rsidRPr="00604386">
              <w:trPr>
                <w:trHeight w:val="593"/>
              </w:trPr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7453AC">
                  <w:pPr>
                    <w:jc w:val="both"/>
                    <w:rPr>
                      <w:rFonts w:ascii="Calibri" w:hAnsi="Calibri" w:cs="Calibri"/>
                      <w:bCs/>
                      <w:lang w:val="ru-RU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644B2A">
                  <w:pPr>
                    <w:jc w:val="center"/>
                    <w:rPr>
                      <w:rFonts w:ascii="Calibri" w:hAnsi="Calibri" w:cs="Calibri"/>
                      <w:bCs/>
                      <w:lang w:val="ru-RU"/>
                    </w:rPr>
                  </w:pPr>
                  <w:r>
                    <w:rPr>
                      <w:rFonts w:ascii="Calibri" w:hAnsi="Calibri" w:cs="Calibri"/>
                      <w:bCs/>
                      <w:lang w:val="ru-RU"/>
                    </w:rPr>
                    <w:t>10%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Default="00644B2A">
                  <w:pPr>
                    <w:jc w:val="both"/>
                    <w:rPr>
                      <w:rFonts w:ascii="Calibri" w:hAnsi="Calibri" w:cs="Calibri"/>
                      <w:bCs/>
                      <w:lang w:val="ru-RU"/>
                    </w:rPr>
                  </w:pPr>
                  <w:r>
                    <w:rPr>
                      <w:rFonts w:ascii="Calibri" w:hAnsi="Calibri" w:cs="Calibri"/>
                      <w:bCs/>
                      <w:lang w:val="ru-RU"/>
                    </w:rPr>
                    <w:t>11 июня 2018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3AC" w:rsidRPr="00D535E4" w:rsidRDefault="00644B2A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В течение 10 дней после выполнения следующих требований:</w:t>
                  </w:r>
                </w:p>
                <w:p w:rsidR="007453AC" w:rsidRDefault="00644B2A">
                  <w:pPr>
                    <w:jc w:val="both"/>
                    <w:rPr>
                      <w:rFonts w:ascii="Calibri" w:hAnsi="Calibri" w:cs="Calibri"/>
                      <w:lang w:val="ru-RU"/>
                    </w:rPr>
                  </w:pPr>
                  <w:proofErr w:type="gramStart"/>
                  <w:r>
                    <w:rPr>
                      <w:rFonts w:ascii="Calibri" w:hAnsi="Calibri" w:cs="Calibri"/>
                      <w:lang w:val="ru-RU"/>
                    </w:rPr>
                    <w:t>а)Письменное</w:t>
                  </w:r>
                  <w:proofErr w:type="gramEnd"/>
                  <w:r>
                    <w:rPr>
                      <w:rFonts w:ascii="Calibri" w:hAnsi="Calibri" w:cs="Calibri"/>
                      <w:lang w:val="ru-RU"/>
                    </w:rPr>
                    <w:t xml:space="preserve"> согласие и принятие ПРООН/УВКПЧ заключительного отчета; а также;</w:t>
                  </w:r>
                </w:p>
                <w:p w:rsidR="007453AC" w:rsidRDefault="00644B2A">
                  <w:pPr>
                    <w:jc w:val="both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б) Получение счета на оплату от поставщика услуг</w:t>
                  </w:r>
                </w:p>
              </w:tc>
            </w:tr>
          </w:tbl>
          <w:p w:rsidR="007453AC" w:rsidRDefault="007453A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7453A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Лицо, которое будут проверять / принимать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результаты и утверждать проведение платежей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jc w:val="both"/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lastRenderedPageBreak/>
              <w:t>Координатор программы</w:t>
            </w:r>
          </w:p>
        </w:tc>
      </w:tr>
      <w:tr w:rsidR="007453AC" w:rsidRPr="0060438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Calibri" w:hAnsi="Calibri" w:cs="Calibri"/>
                <w:sz w:val="22"/>
                <w:szCs w:val="22"/>
                <w:lang w:val="ru-RU"/>
              </w:rPr>
              <w:t>Тип контракта, подлежащего подписанию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pStyle w:val="BankNormal"/>
              <w:spacing w:after="0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horttext"/>
                <w:rFonts w:ascii="Calibri" w:hAnsi="Calibri" w:cs="Calibri"/>
                <w:sz w:val="22"/>
                <w:szCs w:val="22"/>
                <w:lang w:val="ru-RU"/>
              </w:rPr>
              <w:t>Заказ на покупку</w:t>
            </w:r>
          </w:p>
          <w:p w:rsidR="007453AC" w:rsidRPr="00D535E4" w:rsidRDefault="00644B2A">
            <w:pPr>
              <w:pStyle w:val="BankNormal"/>
              <w:spacing w:after="0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Институциональный контракт</w:t>
            </w:r>
          </w:p>
          <w:p w:rsidR="007453AC" w:rsidRPr="00D535E4" w:rsidRDefault="00644B2A">
            <w:pPr>
              <w:pStyle w:val="BankNormal"/>
              <w:spacing w:after="0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horttext"/>
                <w:rFonts w:ascii="Calibri" w:hAnsi="Calibri" w:cs="Calibri"/>
                <w:sz w:val="22"/>
                <w:szCs w:val="22"/>
                <w:lang w:val="ru-RU"/>
              </w:rPr>
              <w:t>Контракт на предоставление профессиональных услуги</w:t>
            </w:r>
          </w:p>
          <w:p w:rsidR="007453AC" w:rsidRPr="00D535E4" w:rsidRDefault="00644B2A">
            <w:pPr>
              <w:pStyle w:val="BankNormal"/>
              <w:spacing w:after="0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Долгосрочное соглашение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  <w:lang w:val="ru-RU"/>
              </w:rPr>
              <w:footnoteReference w:id="4"/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</w:t>
            </w:r>
          </w:p>
          <w:p w:rsidR="007453AC" w:rsidRPr="00D535E4" w:rsidRDefault="00644B2A">
            <w:pPr>
              <w:pStyle w:val="BankNormal"/>
              <w:spacing w:after="0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Другой тип контракта </w:t>
            </w:r>
          </w:p>
        </w:tc>
      </w:tr>
      <w:tr w:rsidR="007453A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Calibri" w:hAnsi="Calibri" w:cs="Calibri"/>
                <w:sz w:val="22"/>
                <w:szCs w:val="22"/>
                <w:lang w:val="ru-RU"/>
              </w:rPr>
              <w:t>Критерии присуждения контракта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pStyle w:val="BankNormal"/>
              <w:spacing w:after="0"/>
              <w:jc w:val="both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Самая низкая цена среди предложений, отвечающих техническим спецификациям </w:t>
            </w:r>
          </w:p>
          <w:p w:rsidR="007453AC" w:rsidRPr="00D535E4" w:rsidRDefault="00644B2A">
            <w:pPr>
              <w:pStyle w:val="BankNormal"/>
              <w:spacing w:after="0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Самый высокий комбинированный балл (на основе 60% технического предложения и 40% - финансового) </w:t>
            </w:r>
          </w:p>
          <w:p w:rsidR="007453AC" w:rsidRDefault="00644B2A">
            <w:pPr>
              <w:pStyle w:val="BankNormal"/>
              <w:spacing w:after="0"/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Полное согласие с Общими положениями и условиями контракта (GTC). Это обязательные критерии и не могут быть удалены независимо от характера предоставляемых услуг. Непринятие GTC может быть основанием для дисквалификации Предложения.</w:t>
            </w:r>
          </w:p>
        </w:tc>
      </w:tr>
      <w:tr w:rsidR="007453AC" w:rsidRPr="00D535E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pStyle w:val="BankNormal"/>
              <w:tabs>
                <w:tab w:val="left" w:pos="5686"/>
                <w:tab w:val="right" w:pos="7218"/>
              </w:tabs>
              <w:spacing w:after="0"/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Критерии оценки предложения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pStyle w:val="BankNormal"/>
              <w:spacing w:after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ru-RU"/>
              </w:rPr>
              <w:t>Техническое предложение (60%)</w:t>
            </w:r>
          </w:p>
          <w:p w:rsidR="007453AC" w:rsidRPr="00D535E4" w:rsidRDefault="00644B2A">
            <w:pPr>
              <w:pStyle w:val="BankNormal"/>
              <w:spacing w:after="0"/>
              <w:jc w:val="both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Опыт организации (опыт в предоставлении услуг, аналогичных тем, что запрашиваются данным ЗП). </w:t>
            </w:r>
            <w:r>
              <w:rPr>
                <w:rFonts w:ascii="Calibri" w:eastAsia="MS Gothic" w:hAnsi="Calibri" w:cs="Calibri"/>
                <w:b/>
                <w:i/>
                <w:sz w:val="22"/>
                <w:szCs w:val="22"/>
                <w:lang w:val="ru-RU"/>
              </w:rPr>
              <w:t>Максимум 10 пунктов</w:t>
            </w:r>
          </w:p>
          <w:p w:rsidR="007453AC" w:rsidRDefault="00644B2A">
            <w:pPr>
              <w:pStyle w:val="BankNormal"/>
              <w:spacing w:after="0"/>
              <w:jc w:val="both"/>
              <w:rPr>
                <w:rFonts w:ascii="Calibri" w:eastAsia="MS Gothic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>- 3 года – 5 пунктов;</w:t>
            </w:r>
          </w:p>
          <w:p w:rsidR="007453AC" w:rsidRDefault="00644B2A">
            <w:pPr>
              <w:pStyle w:val="BankNormal"/>
              <w:spacing w:after="0"/>
              <w:jc w:val="both"/>
              <w:rPr>
                <w:rFonts w:ascii="Calibri" w:eastAsia="MS Gothic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- каждый следующий год – по 1 пункту. </w:t>
            </w:r>
          </w:p>
          <w:p w:rsidR="007453AC" w:rsidRDefault="007453AC">
            <w:pPr>
              <w:pStyle w:val="BankNormal"/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  <w:p w:rsidR="007453AC" w:rsidRPr="00D535E4" w:rsidRDefault="00644B2A">
            <w:pPr>
              <w:pStyle w:val="BankNormal"/>
              <w:spacing w:after="0"/>
              <w:jc w:val="both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Методология, ее соответствие условиям и своевременности плана осуществления. </w:t>
            </w:r>
            <w:r>
              <w:rPr>
                <w:rFonts w:ascii="Calibri" w:eastAsia="MS Gothic" w:hAnsi="Calibri" w:cs="Calibri"/>
                <w:b/>
                <w:i/>
                <w:sz w:val="22"/>
                <w:szCs w:val="22"/>
                <w:lang w:val="ru-RU"/>
              </w:rPr>
              <w:t>Максимум 20 пунктов</w:t>
            </w:r>
          </w:p>
          <w:p w:rsidR="007453AC" w:rsidRDefault="007453AC">
            <w:pPr>
              <w:pStyle w:val="BankNormal"/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  <w:p w:rsidR="007453AC" w:rsidRPr="00D535E4" w:rsidRDefault="00644B2A">
            <w:pPr>
              <w:pStyle w:val="BankNormal"/>
              <w:spacing w:after="0"/>
              <w:jc w:val="both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Структура управления и квалификация ключевых сотрудников. </w:t>
            </w:r>
            <w:r>
              <w:rPr>
                <w:rFonts w:ascii="Calibri" w:eastAsia="MS Gothic" w:hAnsi="Calibri" w:cs="Calibri"/>
                <w:b/>
                <w:i/>
                <w:sz w:val="22"/>
                <w:szCs w:val="22"/>
                <w:lang w:val="ru-RU"/>
              </w:rPr>
              <w:t>Максимум 10 пунктов</w:t>
            </w:r>
          </w:p>
          <w:p w:rsidR="007453AC" w:rsidRDefault="007453AC">
            <w:pPr>
              <w:pStyle w:val="BankNormal"/>
              <w:spacing w:after="0"/>
              <w:jc w:val="both"/>
              <w:rPr>
                <w:rFonts w:ascii="Calibri" w:eastAsia="MS Gothic" w:hAnsi="Calibri" w:cs="Calibri"/>
                <w:sz w:val="22"/>
                <w:szCs w:val="22"/>
                <w:lang w:val="ru-RU"/>
              </w:rPr>
            </w:pPr>
          </w:p>
          <w:p w:rsidR="007453AC" w:rsidRDefault="00644B2A">
            <w:pPr>
              <w:pStyle w:val="BankNormal"/>
              <w:spacing w:after="0"/>
              <w:jc w:val="both"/>
              <w:rPr>
                <w:rFonts w:ascii="Calibri" w:eastAsia="MS Gothic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>- специализированное образование, релевантное для внедряемых услуг – 5 пунктов;</w:t>
            </w:r>
          </w:p>
          <w:p w:rsidR="007453AC" w:rsidRDefault="00644B2A">
            <w:pPr>
              <w:pStyle w:val="BankNormal"/>
              <w:spacing w:after="0"/>
              <w:jc w:val="both"/>
              <w:rPr>
                <w:rFonts w:ascii="Calibri" w:eastAsia="MS Gothic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- опыт работы более 3х лет в области, релевантной для внедряемых услуг - 5 пунктов.</w:t>
            </w:r>
          </w:p>
          <w:p w:rsidR="007453AC" w:rsidRDefault="007453AC">
            <w:pPr>
              <w:pStyle w:val="BankNormal"/>
              <w:spacing w:after="0"/>
              <w:jc w:val="both"/>
              <w:rPr>
                <w:rFonts w:ascii="Calibri" w:eastAsia="MS Gothic" w:hAnsi="Calibri" w:cs="Calibri"/>
                <w:sz w:val="22"/>
                <w:szCs w:val="22"/>
                <w:lang w:val="ru-RU"/>
              </w:rPr>
            </w:pPr>
          </w:p>
          <w:p w:rsidR="007453AC" w:rsidRPr="00D535E4" w:rsidRDefault="00644B2A">
            <w:pPr>
              <w:pStyle w:val="BankNormal"/>
              <w:spacing w:after="0"/>
              <w:jc w:val="both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ЛОВ среди сотрудников, внедряющих услуги. </w:t>
            </w:r>
            <w:r>
              <w:rPr>
                <w:rFonts w:ascii="Calibri" w:eastAsia="MS Gothic" w:hAnsi="Calibri" w:cs="Calibri"/>
                <w:b/>
                <w:i/>
                <w:sz w:val="22"/>
                <w:szCs w:val="22"/>
                <w:lang w:val="ru-RU"/>
              </w:rPr>
              <w:t>Максимум 20 пунктов</w:t>
            </w:r>
          </w:p>
          <w:p w:rsidR="007453AC" w:rsidRDefault="00644B2A">
            <w:pPr>
              <w:pStyle w:val="BankNormal"/>
              <w:spacing w:after="0"/>
              <w:jc w:val="both"/>
              <w:rPr>
                <w:rFonts w:ascii="Calibri" w:eastAsia="MS Gothic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>- да – 20 пунктов;</w:t>
            </w:r>
          </w:p>
          <w:p w:rsidR="007453AC" w:rsidRPr="00D535E4" w:rsidRDefault="00644B2A">
            <w:pPr>
              <w:pStyle w:val="BankNormal"/>
              <w:spacing w:after="0"/>
              <w:jc w:val="both"/>
              <w:rPr>
                <w:lang w:val="ru-RU"/>
              </w:rPr>
            </w:pP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>- нет – 0 пунктов</w:t>
            </w:r>
          </w:p>
          <w:p w:rsidR="007453AC" w:rsidRDefault="007453AC">
            <w:pPr>
              <w:pStyle w:val="BankNormal"/>
              <w:spacing w:after="0"/>
              <w:jc w:val="both"/>
              <w:rPr>
                <w:rFonts w:ascii="Calibri" w:hAnsi="Calibri" w:cs="Calibri"/>
                <w:i/>
                <w:sz w:val="22"/>
                <w:szCs w:val="22"/>
                <w:lang w:val="ru-RU"/>
              </w:rPr>
            </w:pPr>
          </w:p>
          <w:p w:rsidR="007453AC" w:rsidRPr="00D535E4" w:rsidRDefault="00644B2A">
            <w:pPr>
              <w:pStyle w:val="BankNormal"/>
              <w:spacing w:after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ru-RU"/>
              </w:rPr>
              <w:t>Финансовое предложение (40%)</w:t>
            </w:r>
          </w:p>
          <w:p w:rsidR="007453AC" w:rsidRPr="00D535E4" w:rsidRDefault="00644B2A">
            <w:pPr>
              <w:pStyle w:val="BankNormal"/>
              <w:spacing w:after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Рассчитывается как соотношение стоимости данного Предложения к самой низкой цене среди предложений, полученных ПРООН.</w:t>
            </w:r>
          </w:p>
          <w:p w:rsidR="007453AC" w:rsidRDefault="007453AC">
            <w:pPr>
              <w:pStyle w:val="Bank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7453AC" w:rsidRPr="00D535E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pStyle w:val="BankNormal"/>
              <w:tabs>
                <w:tab w:val="left" w:pos="5686"/>
                <w:tab w:val="right" w:pos="7218"/>
              </w:tabs>
              <w:spacing w:after="0"/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ПРООН присудит контракт: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pStyle w:val="BankNormal"/>
              <w:tabs>
                <w:tab w:val="left" w:pos="342"/>
                <w:tab w:val="right" w:pos="7218"/>
              </w:tabs>
              <w:spacing w:after="0"/>
              <w:jc w:val="both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Только одному поставщику услуг</w:t>
            </w:r>
          </w:p>
          <w:p w:rsidR="007453AC" w:rsidRPr="00D535E4" w:rsidRDefault="00644B2A">
            <w:pPr>
              <w:pStyle w:val="BankNormal"/>
              <w:tabs>
                <w:tab w:val="left" w:pos="342"/>
                <w:tab w:val="right" w:pos="7218"/>
              </w:tabs>
              <w:spacing w:after="0"/>
              <w:jc w:val="both"/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Одному или нескольку поставщикам услуг, в случае если они объединяться и подтвердят свои намерения посредством подписания </w:t>
            </w:r>
            <w:bookmarkStart w:id="2" w:name="_Hlk505330090"/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>Заявления об учреждении совместной организации/консорциуме или ассоциации</w:t>
            </w:r>
            <w:r>
              <w:rPr>
                <w:rStyle w:val="FootnoteReference"/>
                <w:rFonts w:ascii="Calibri" w:eastAsia="MS Gothic" w:hAnsi="Calibri" w:cs="Calibri"/>
                <w:sz w:val="22"/>
                <w:szCs w:val="22"/>
                <w:lang w:val="ru-RU"/>
              </w:rPr>
              <w:footnoteReference w:id="5"/>
            </w:r>
          </w:p>
          <w:bookmarkEnd w:id="2"/>
          <w:p w:rsidR="007453AC" w:rsidRDefault="007453AC">
            <w:pPr>
              <w:pStyle w:val="BankNormal"/>
              <w:tabs>
                <w:tab w:val="left" w:pos="342"/>
                <w:tab w:val="right" w:pos="7218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7453AC" w:rsidRPr="00D535E4">
        <w:trPr>
          <w:cantSplit/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 xml:space="preserve">Приложения к данному Запросу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Предлжений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Описание требований к предложению 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Приложение 1)</w:t>
            </w:r>
          </w:p>
          <w:p w:rsidR="007453AC" w:rsidRDefault="00644B2A"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Технические требования к предложению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ToR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Приложение 2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>)</w:t>
            </w:r>
          </w:p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="Calibri" w:eastAsia="MS Gothic" w:hAnsi="Calibri" w:cs="Calibri"/>
                <w:sz w:val="22"/>
                <w:szCs w:val="22"/>
                <w:lang w:val="ru-RU"/>
              </w:rPr>
              <w:t xml:space="preserve"> Ф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орма предоставления предложения о предоставлении услуг (Приложение 3)</w:t>
            </w:r>
          </w:p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Segoe UI Symbol" w:hAnsi="Segoe UI Symbol" w:cs="Segoe UI Symbol"/>
                <w:bCs/>
                <w:sz w:val="22"/>
                <w:szCs w:val="22"/>
                <w:lang w:val="ru-RU"/>
              </w:rPr>
              <w:t>☒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Форма бюджета</w:t>
            </w:r>
          </w:p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Segoe UI Symbol" w:hAnsi="Segoe UI Symbol" w:cs="Segoe UI Symbol"/>
                <w:bCs/>
                <w:sz w:val="22"/>
                <w:szCs w:val="22"/>
                <w:lang w:val="ru-RU"/>
              </w:rPr>
              <w:t>☒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Заявление об учреждении совместной организации/консорциуме или ассоциации</w:t>
            </w:r>
          </w:p>
          <w:p w:rsidR="007453AC" w:rsidRDefault="007453AC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7453AC" w:rsidRPr="00D535E4">
        <w:trPr>
          <w:cantSplit/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Контактное лицо</w:t>
            </w:r>
          </w:p>
          <w:p w:rsidR="007453AC" w:rsidRPr="00D535E4" w:rsidRDefault="00644B2A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(только для обращений в письменном виде)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  <w:lang w:val="ru-RU"/>
              </w:rPr>
              <w:footnoteReference w:id="6"/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Александру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Стратулат</w:t>
            </w:r>
            <w:proofErr w:type="spellEnd"/>
          </w:p>
          <w:p w:rsidR="007453AC" w:rsidRDefault="00644B2A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Координатор программы</w:t>
            </w:r>
          </w:p>
          <w:p w:rsidR="007453AC" w:rsidRPr="00D535E4" w:rsidRDefault="002458FB">
            <w:pPr>
              <w:rPr>
                <w:lang w:val="ru-RU"/>
              </w:rPr>
            </w:pPr>
            <w:hyperlink r:id="rId7" w:history="1">
              <w:r w:rsidR="00644B2A">
                <w:rPr>
                  <w:rStyle w:val="Hyperlink"/>
                  <w:rFonts w:ascii="Calibri" w:hAnsi="Calibri" w:cs="Calibri"/>
                  <w:sz w:val="22"/>
                  <w:szCs w:val="22"/>
                  <w:lang w:val="ru-RU"/>
                </w:rPr>
                <w:t>alexandru.stratulat@one.un.org</w:t>
              </w:r>
            </w:hyperlink>
          </w:p>
          <w:p w:rsidR="007453AC" w:rsidRPr="00D535E4" w:rsidRDefault="00644B2A">
            <w:pPr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Любая задержка с ответом со стороны ПРООН не должна использоваться в качестве основания для продления крайнего срока подачи Предложения. Однако, при необходимости, ПРООН может принять решение о продлении сроков подачи предложений, и о нем будет сообщено.</w:t>
            </w:r>
          </w:p>
        </w:tc>
      </w:tr>
      <w:tr w:rsidR="007453AC">
        <w:trPr>
          <w:cantSplit/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Пакет заявки должен включать следующие документы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Pr="00D535E4" w:rsidRDefault="00644B2A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 w:val="0"/>
              <w:spacing w:line="240" w:lineRule="auto"/>
              <w:ind w:left="74" w:firstLine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>Форма предложения о предоставлении услуг</w:t>
            </w:r>
            <w:r>
              <w:rPr>
                <w:rStyle w:val="FootnoteReference"/>
                <w:rFonts w:ascii="Calibri" w:hAnsi="Calibri" w:cs="Calibri"/>
                <w:szCs w:val="22"/>
                <w:lang w:val="ru-RU"/>
              </w:rPr>
              <w:t xml:space="preserve"> </w:t>
            </w:r>
            <w:r>
              <w:rPr>
                <w:rStyle w:val="FootnoteReference"/>
                <w:rFonts w:ascii="Calibri" w:hAnsi="Calibri" w:cs="Calibri"/>
                <w:bCs/>
                <w:szCs w:val="22"/>
                <w:lang w:val="ru-RU"/>
              </w:rPr>
              <w:footnoteReference w:id="7"/>
            </w:r>
            <w:r>
              <w:rPr>
                <w:rFonts w:ascii="Calibri" w:hAnsi="Calibri" w:cs="Calibri"/>
                <w:bCs/>
                <w:szCs w:val="22"/>
                <w:lang w:val="ru-RU"/>
              </w:rPr>
              <w:t xml:space="preserve"> (Форма заявки предоставляется УВКПЧ);</w:t>
            </w:r>
          </w:p>
          <w:p w:rsidR="007453AC" w:rsidRDefault="00644B2A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 w:val="0"/>
              <w:spacing w:line="240" w:lineRule="auto"/>
              <w:ind w:left="74" w:firstLine="0"/>
              <w:jc w:val="both"/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>Форма бюджета (предоставляется УВКПЧ)</w:t>
            </w:r>
            <w:r>
              <w:rPr>
                <w:rStyle w:val="FootnoteReference"/>
                <w:rFonts w:ascii="Calibri" w:hAnsi="Calibri" w:cs="Calibri"/>
                <w:bCs/>
                <w:szCs w:val="22"/>
                <w:lang w:val="ru-RU"/>
              </w:rPr>
              <w:footnoteReference w:id="8"/>
            </w:r>
            <w:r>
              <w:rPr>
                <w:rFonts w:ascii="Calibri" w:hAnsi="Calibri" w:cs="Calibri"/>
                <w:bCs/>
                <w:szCs w:val="22"/>
                <w:lang w:val="ru-RU"/>
              </w:rPr>
              <w:t xml:space="preserve">; </w:t>
            </w:r>
          </w:p>
          <w:p w:rsidR="007453AC" w:rsidRDefault="00644B2A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 w:val="0"/>
              <w:spacing w:line="240" w:lineRule="auto"/>
              <w:ind w:left="74" w:firstLine="0"/>
              <w:jc w:val="both"/>
              <w:rPr>
                <w:rFonts w:ascii="Calibri" w:hAnsi="Calibri" w:cs="Calibri"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>Копия свидетельства о регистрации в Министерстве Юстиции Республики Молдова;</w:t>
            </w:r>
          </w:p>
          <w:p w:rsidR="007453AC" w:rsidRDefault="00644B2A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 w:val="0"/>
              <w:spacing w:line="240" w:lineRule="auto"/>
              <w:ind w:left="74" w:firstLine="0"/>
              <w:jc w:val="both"/>
              <w:rPr>
                <w:rFonts w:ascii="Calibri" w:hAnsi="Calibri" w:cs="Calibri"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>В случае участия в проекте нескольких организации, Соглашение о сотрудничестве между данными организациями, одна из которых должна быть с левого берега Днестра;</w:t>
            </w:r>
          </w:p>
          <w:p w:rsidR="007453AC" w:rsidRPr="00D535E4" w:rsidRDefault="00644B2A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 w:val="0"/>
              <w:spacing w:line="240" w:lineRule="auto"/>
              <w:ind w:left="74" w:firstLine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 xml:space="preserve">Соглашение о сотрудничестве/письмо о поддержке предлагаемой инициативы, подписанное подающей или партнёрской НПО и органами местной власти, </w:t>
            </w:r>
            <w:r>
              <w:rPr>
                <w:rFonts w:ascii="Calibri" w:hAnsi="Calibri" w:cs="Calibri"/>
                <w:bCs/>
                <w:i/>
                <w:szCs w:val="22"/>
                <w:lang w:val="ru-RU"/>
              </w:rPr>
              <w:t>если применимо</w:t>
            </w:r>
            <w:r>
              <w:rPr>
                <w:rFonts w:ascii="Calibri" w:hAnsi="Calibri" w:cs="Calibri"/>
                <w:bCs/>
                <w:szCs w:val="22"/>
                <w:lang w:val="ru-RU"/>
              </w:rPr>
              <w:t>;</w:t>
            </w:r>
          </w:p>
          <w:p w:rsidR="007453AC" w:rsidRDefault="00644B2A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 w:val="0"/>
              <w:spacing w:line="240" w:lineRule="auto"/>
              <w:ind w:left="74" w:firstLine="0"/>
              <w:jc w:val="both"/>
              <w:rPr>
                <w:rFonts w:ascii="Calibri" w:hAnsi="Calibri" w:cs="Calibri"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>Заявление об учреждении совместной организации/консорциуме или ассоциации (в случае заявки от нескольких организаций);</w:t>
            </w:r>
          </w:p>
          <w:p w:rsidR="007453AC" w:rsidRDefault="00644B2A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 w:val="0"/>
              <w:spacing w:line="240" w:lineRule="auto"/>
              <w:ind w:left="74" w:firstLine="0"/>
              <w:jc w:val="both"/>
              <w:rPr>
                <w:rFonts w:ascii="Calibri" w:hAnsi="Calibri" w:cs="Calibri"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>Резюме руководителя проекта и ключевого персонала, участвующих в реализации проекта;</w:t>
            </w:r>
          </w:p>
          <w:p w:rsidR="007453AC" w:rsidRDefault="00644B2A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 w:val="0"/>
              <w:spacing w:line="240" w:lineRule="auto"/>
              <w:ind w:left="74" w:firstLine="0"/>
              <w:jc w:val="both"/>
              <w:rPr>
                <w:rFonts w:ascii="Calibri" w:hAnsi="Calibri" w:cs="Calibri"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>Краткий обзор деятельности организации/партнеров, входящих в консорциум (в том числе, разработанные материалы: исследования, тренинги, информационные буклеты, брошюры; газетные статьи, аудио- и видео материалы, фоторепортажи и т.д.);</w:t>
            </w:r>
          </w:p>
          <w:p w:rsidR="007453AC" w:rsidRDefault="00644B2A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 w:val="0"/>
              <w:spacing w:line="240" w:lineRule="auto"/>
              <w:ind w:left="74" w:firstLine="0"/>
              <w:jc w:val="both"/>
              <w:rPr>
                <w:rFonts w:ascii="Calibri" w:hAnsi="Calibri" w:cs="Calibri"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>Другие дополнительные материалы</w:t>
            </w:r>
          </w:p>
        </w:tc>
      </w:tr>
      <w:tr w:rsidR="007453AC" w:rsidRPr="00D535E4">
        <w:trPr>
          <w:cantSplit/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Другое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AC" w:rsidRDefault="00644B2A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Заинтересованные кандидаты могут:</w:t>
            </w:r>
          </w:p>
          <w:p w:rsidR="007453AC" w:rsidRPr="00D535E4" w:rsidRDefault="00644B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Задать вопросы до 9 апреля 2018г. по электронной почте </w:t>
            </w:r>
            <w:hyperlink r:id="rId8" w:history="1">
              <w:r>
                <w:rPr>
                  <w:rStyle w:val="Hyperlink"/>
                  <w:rFonts w:ascii="Calibri" w:hAnsi="Calibri" w:cs="Calibri"/>
                  <w:szCs w:val="22"/>
                  <w:lang w:val="ru-RU"/>
                </w:rPr>
                <w:t>alexandru.stratulat@one.un.org</w:t>
              </w:r>
            </w:hyperlink>
            <w:r>
              <w:rPr>
                <w:rFonts w:ascii="Calibri" w:hAnsi="Calibri" w:cs="Calibri"/>
                <w:szCs w:val="22"/>
                <w:lang w:val="ru-RU"/>
              </w:rPr>
              <w:t>.</w:t>
            </w:r>
          </w:p>
          <w:p w:rsidR="007453AC" w:rsidRDefault="00644B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Сообщить о своем намерении подать предложение и попросить поддержки/консультации в написании предложения</w:t>
            </w:r>
          </w:p>
        </w:tc>
      </w:tr>
    </w:tbl>
    <w:p w:rsidR="007453AC" w:rsidRDefault="007453AC">
      <w:pPr>
        <w:rPr>
          <w:lang w:val="ru-RU"/>
        </w:rPr>
      </w:pPr>
    </w:p>
    <w:sectPr w:rsidR="007453AC">
      <w:pgSz w:w="11906" w:h="16838"/>
      <w:pgMar w:top="113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FB" w:rsidRDefault="002458FB">
      <w:r>
        <w:separator/>
      </w:r>
    </w:p>
  </w:endnote>
  <w:endnote w:type="continuationSeparator" w:id="0">
    <w:p w:rsidR="002458FB" w:rsidRDefault="0024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FB" w:rsidRDefault="002458FB">
      <w:r>
        <w:rPr>
          <w:color w:val="000000"/>
        </w:rPr>
        <w:separator/>
      </w:r>
    </w:p>
  </w:footnote>
  <w:footnote w:type="continuationSeparator" w:id="0">
    <w:p w:rsidR="002458FB" w:rsidRDefault="002458FB">
      <w:r>
        <w:continuationSeparator/>
      </w:r>
    </w:p>
  </w:footnote>
  <w:footnote w:id="1">
    <w:p w:rsidR="007453AC" w:rsidRPr="00D535E4" w:rsidRDefault="00644B2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rFonts w:ascii="Calibri" w:hAnsi="Calibri" w:cs="Calibri"/>
          <w:lang w:val="ru-RU"/>
        </w:rPr>
        <w:t xml:space="preserve"> Для подробного описания мероприятий и ожидаемых результатов смотрите Приложение 2</w:t>
      </w:r>
    </w:p>
  </w:footnote>
  <w:footnote w:id="2">
    <w:p w:rsidR="007453AC" w:rsidRPr="00D535E4" w:rsidRDefault="00644B2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Смотри приложение 2</w:t>
      </w:r>
    </w:p>
  </w:footnote>
  <w:footnote w:id="3">
    <w:p w:rsidR="007453AC" w:rsidRPr="00D535E4" w:rsidRDefault="00644B2A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>
        <w:rPr>
          <w:i/>
          <w:iCs/>
          <w:lang w:val="ro-RO"/>
        </w:rPr>
        <w:t xml:space="preserve"> В соответсвии с Приложением nr. 1 к Постановлению Правительства nr. 246 от 8 </w:t>
      </w:r>
      <w:r>
        <w:rPr>
          <w:i/>
          <w:iCs/>
          <w:lang w:val="ru-RU"/>
        </w:rPr>
        <w:t>а</w:t>
      </w:r>
      <w:r>
        <w:rPr>
          <w:i/>
          <w:iCs/>
          <w:lang w:val="ro-RO"/>
        </w:rPr>
        <w:t>преля 2010, и последующими изменениями, программа «Поддержка прав человека на обоиз берегах Днестра», № 872114239072, оплачивает НДС по ставке 0. Письмо об этом будет выдано организации с которой будет заключен контракт</w:t>
      </w:r>
    </w:p>
  </w:footnote>
  <w:footnote w:id="4">
    <w:p w:rsidR="007453AC" w:rsidRPr="00D535E4" w:rsidRDefault="00644B2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i/>
          <w:iCs/>
          <w:lang w:val="ro-RO"/>
        </w:rPr>
        <w:t xml:space="preserve"> </w:t>
      </w:r>
      <w:r>
        <w:rPr>
          <w:i/>
          <w:lang w:val="ru-RU"/>
        </w:rPr>
        <w:t>Минимальный период один (1) год и может быть продлен максимум до трех (3) лет при условии удовлетворительной оценки эффективности.</w:t>
      </w:r>
    </w:p>
  </w:footnote>
  <w:footnote w:id="5">
    <w:p w:rsidR="007453AC" w:rsidRPr="00D535E4" w:rsidRDefault="00644B2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Смотри приложение 5</w:t>
      </w:r>
    </w:p>
  </w:footnote>
  <w:footnote w:id="6">
    <w:p w:rsidR="007453AC" w:rsidRPr="00D535E4" w:rsidRDefault="00644B2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i/>
          <w:iCs/>
          <w:lang w:val="ro-RO"/>
        </w:rPr>
        <w:t xml:space="preserve"> Это контактное лицо и адрес официально назначаются ПРООН. Если запросы направляются другим лицам / адресатам, и даже если они являются сотрудниками ПРООН, ПРООН не обязана отвечать, и ПРООН не сможет подтвердить, получен какого-либо запроса</w:t>
      </w:r>
    </w:p>
  </w:footnote>
  <w:footnote w:id="7">
    <w:p w:rsidR="007453AC" w:rsidRDefault="00644B2A">
      <w:pPr>
        <w:pStyle w:val="FootnoteText"/>
      </w:pPr>
      <w:r>
        <w:rPr>
          <w:rStyle w:val="FootnoteReference"/>
        </w:rPr>
        <w:footnoteRef/>
      </w:r>
      <w:r>
        <w:rPr>
          <w:lang w:val="ru-RU"/>
        </w:rPr>
        <w:t xml:space="preserve"> Смотри Приложение 3</w:t>
      </w:r>
    </w:p>
  </w:footnote>
  <w:footnote w:id="8">
    <w:p w:rsidR="007453AC" w:rsidRDefault="00644B2A">
      <w:pPr>
        <w:pStyle w:val="FootnoteText"/>
      </w:pPr>
      <w:r>
        <w:rPr>
          <w:rStyle w:val="FootnoteReference"/>
        </w:rPr>
        <w:footnoteRef/>
      </w:r>
      <w:r>
        <w:rPr>
          <w:lang w:val="ru-RU"/>
        </w:rPr>
        <w:t xml:space="preserve"> Смотри Приложение 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A7E"/>
    <w:multiLevelType w:val="multilevel"/>
    <w:tmpl w:val="F3B88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01FD"/>
    <w:multiLevelType w:val="multilevel"/>
    <w:tmpl w:val="0CE89F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6BDB"/>
    <w:multiLevelType w:val="multilevel"/>
    <w:tmpl w:val="08E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543"/>
    <w:multiLevelType w:val="multilevel"/>
    <w:tmpl w:val="F9365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3619"/>
    <w:multiLevelType w:val="multilevel"/>
    <w:tmpl w:val="1E46B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1E45"/>
    <w:multiLevelType w:val="multilevel"/>
    <w:tmpl w:val="F3163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6" w15:restartNumberingAfterBreak="0">
    <w:nsid w:val="781B0729"/>
    <w:multiLevelType w:val="multilevel"/>
    <w:tmpl w:val="B0B6E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77AD4"/>
    <w:multiLevelType w:val="multilevel"/>
    <w:tmpl w:val="B4F0D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AC"/>
    <w:rsid w:val="002458FB"/>
    <w:rsid w:val="00604386"/>
    <w:rsid w:val="00644B2A"/>
    <w:rsid w:val="007453AC"/>
    <w:rsid w:val="00D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5BF45-E38F-4798-A8BF-B5A75DBE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BankNormal">
    <w:name w:val="BankNormal"/>
    <w:basedOn w:val="Normal"/>
    <w:pPr>
      <w:spacing w:after="240"/>
    </w:pPr>
    <w:rPr>
      <w:sz w:val="24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FootnoteText">
    <w:name w:val="footnote text"/>
    <w:basedOn w:val="Normal"/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pPr>
      <w:widowControl w:val="0"/>
      <w:overflowPunct w:val="0"/>
      <w:spacing w:line="360" w:lineRule="auto"/>
      <w:ind w:left="720"/>
    </w:pPr>
    <w:rPr>
      <w:kern w:val="3"/>
      <w:sz w:val="22"/>
      <w:szCs w:val="24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kern w:val="3"/>
      <w:szCs w:val="24"/>
      <w:lang w:val="en-US"/>
    </w:rPr>
  </w:style>
  <w:style w:type="character" w:customStyle="1" w:styleId="shorttext">
    <w:name w:val="short_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u.stratulat@one.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u.stratulat@one.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Sandu</dc:creator>
  <dc:description/>
  <cp:lastModifiedBy>Iurie Tarcenco</cp:lastModifiedBy>
  <cp:revision>3</cp:revision>
  <cp:lastPrinted>2018-03-29T12:36:00Z</cp:lastPrinted>
  <dcterms:created xsi:type="dcterms:W3CDTF">2018-03-29T12:53:00Z</dcterms:created>
  <dcterms:modified xsi:type="dcterms:W3CDTF">2018-03-30T06:37:00Z</dcterms:modified>
</cp:coreProperties>
</file>