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817B" w14:textId="18B00715" w:rsidR="007A1880" w:rsidRDefault="007A1880">
      <w:pPr>
        <w:rPr>
          <w:lang w:val="en-GB"/>
        </w:rPr>
      </w:pPr>
    </w:p>
    <w:p w14:paraId="679CDF54" w14:textId="66A852C6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</w:p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45F6B248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bookmarkStart w:id="0" w:name="_GoBack"/>
      <w:bookmarkEnd w:id="0"/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1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00A7C5F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52438B" w14:textId="23CA99B4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Pr="001D3725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130C2E" w:rsidRPr="00191B01">
        <w:rPr>
          <w:rFonts w:ascii="Calibri" w:hAnsi="Calibri" w:cs="Calibri"/>
          <w:b/>
          <w:snapToGrid w:val="0"/>
          <w:sz w:val="22"/>
          <w:szCs w:val="22"/>
        </w:rPr>
        <w:t>“</w:t>
      </w:r>
      <w:r w:rsidR="00E856AB" w:rsidRPr="00191B01">
        <w:rPr>
          <w:rFonts w:ascii="Myriad Pro" w:hAnsi="Myriad Pro"/>
          <w:b/>
          <w:sz w:val="22"/>
          <w:szCs w:val="22"/>
        </w:rPr>
        <w:t>RfQ-</w:t>
      </w:r>
      <w:r w:rsidR="00E856AB" w:rsidRPr="0086282D">
        <w:rPr>
          <w:rFonts w:ascii="Myriad Pro" w:hAnsi="Myriad Pro"/>
          <w:b/>
          <w:sz w:val="22"/>
          <w:szCs w:val="22"/>
        </w:rPr>
        <w:t>19</w:t>
      </w:r>
      <w:r w:rsidR="00C226FA" w:rsidRPr="0086282D">
        <w:rPr>
          <w:rFonts w:ascii="Myriad Pro" w:hAnsi="Myriad Pro"/>
          <w:b/>
          <w:sz w:val="22"/>
          <w:szCs w:val="22"/>
        </w:rPr>
        <w:t>/</w:t>
      </w:r>
      <w:r w:rsidR="0086282D" w:rsidRPr="0086282D">
        <w:rPr>
          <w:rFonts w:ascii="Myriad Pro" w:hAnsi="Myriad Pro"/>
          <w:b/>
          <w:sz w:val="22"/>
          <w:szCs w:val="22"/>
        </w:rPr>
        <w:t>0188</w:t>
      </w:r>
      <w:r w:rsidR="00CA0D15">
        <w:rPr>
          <w:rFonts w:ascii="Myriad Pro" w:hAnsi="Myriad Pro"/>
          <w:b/>
          <w:sz w:val="22"/>
          <w:szCs w:val="22"/>
        </w:rPr>
        <w:t>9</w:t>
      </w:r>
      <w:r w:rsidR="00130C2E" w:rsidRPr="0086282D">
        <w:rPr>
          <w:rFonts w:ascii="Myriad Pro" w:hAnsi="Myriad Pro"/>
          <w:b/>
          <w:sz w:val="22"/>
          <w:szCs w:val="22"/>
        </w:rPr>
        <w:t> </w:t>
      </w:r>
      <w:r w:rsidR="00130C2E" w:rsidRPr="00191B01">
        <w:rPr>
          <w:rFonts w:ascii="Myriad Pro" w:hAnsi="Myriad Pro"/>
          <w:b/>
          <w:sz w:val="22"/>
          <w:szCs w:val="22"/>
        </w:rPr>
        <w:t>–</w:t>
      </w:r>
      <w:r w:rsidR="008A7FE7" w:rsidRPr="00191B01">
        <w:rPr>
          <w:rFonts w:ascii="Myriad Pro" w:hAnsi="Myriad Pro"/>
          <w:b/>
          <w:sz w:val="22"/>
          <w:szCs w:val="22"/>
        </w:rPr>
        <w:t xml:space="preserve"> Provision </w:t>
      </w:r>
      <w:r w:rsidR="003E7D53" w:rsidRPr="00191B01">
        <w:rPr>
          <w:rFonts w:ascii="Myriad Pro" w:hAnsi="Myriad Pro"/>
          <w:b/>
          <w:sz w:val="22"/>
          <w:szCs w:val="22"/>
        </w:rPr>
        <w:t>of</w:t>
      </w:r>
      <w:r w:rsidR="003E7D53">
        <w:rPr>
          <w:rFonts w:ascii="Myriad Pro" w:hAnsi="Myriad Pro"/>
          <w:b/>
          <w:sz w:val="22"/>
          <w:szCs w:val="22"/>
        </w:rPr>
        <w:t xml:space="preserve"> </w:t>
      </w:r>
      <w:r w:rsidR="003E7D53" w:rsidRPr="003E7D53">
        <w:rPr>
          <w:rFonts w:ascii="Myriad Pro" w:hAnsi="Myriad Pro"/>
          <w:b/>
          <w:sz w:val="22"/>
          <w:szCs w:val="22"/>
        </w:rPr>
        <w:t>Design</w:t>
      </w:r>
      <w:r w:rsidR="008A7FE7" w:rsidRPr="00191B01">
        <w:rPr>
          <w:rFonts w:ascii="Myriad Pro" w:hAnsi="Myriad Pro" w:cs="Calibri"/>
          <w:b/>
          <w:sz w:val="22"/>
          <w:szCs w:val="22"/>
        </w:rPr>
        <w:t xml:space="preserve"> services for con</w:t>
      </w:r>
      <w:r w:rsidR="00E856AB" w:rsidRPr="00191B01">
        <w:rPr>
          <w:rFonts w:ascii="Myriad Pro" w:hAnsi="Myriad Pro" w:cs="Calibri"/>
          <w:b/>
          <w:sz w:val="22"/>
          <w:szCs w:val="22"/>
        </w:rPr>
        <w:t>struction works and prel</w:t>
      </w:r>
      <w:r w:rsidR="003B2CDE" w:rsidRPr="00191B01">
        <w:rPr>
          <w:rFonts w:ascii="Myriad Pro" w:hAnsi="Myriad Pro" w:cs="Calibri"/>
          <w:b/>
          <w:sz w:val="22"/>
          <w:szCs w:val="22"/>
        </w:rPr>
        <w:t>iminary costs estimation for MiDL</w:t>
      </w:r>
      <w:r w:rsidR="00E856AB" w:rsidRPr="00191B01">
        <w:rPr>
          <w:rFonts w:ascii="Myriad Pro" w:hAnsi="Myriad Pro" w:cs="Calibri"/>
          <w:b/>
          <w:sz w:val="22"/>
          <w:szCs w:val="22"/>
        </w:rPr>
        <w:t xml:space="preserve"> Project </w:t>
      </w:r>
      <w:r w:rsidR="00A707B4" w:rsidRPr="00191B01">
        <w:rPr>
          <w:rFonts w:ascii="Myriad Pro" w:hAnsi="Myriad Pro" w:cs="Calibri"/>
          <w:b/>
          <w:sz w:val="22"/>
          <w:szCs w:val="22"/>
        </w:rPr>
        <w:t>- Chi</w:t>
      </w:r>
      <w:r w:rsidR="003B2CDE" w:rsidRPr="00191B01">
        <w:rPr>
          <w:rFonts w:ascii="Myriad Pro" w:hAnsi="Myriad Pro" w:cs="Calibri"/>
          <w:b/>
          <w:sz w:val="22"/>
          <w:szCs w:val="22"/>
        </w:rPr>
        <w:t>sinau</w:t>
      </w:r>
      <w:r w:rsidR="00130C2E" w:rsidRPr="003E7D53">
        <w:rPr>
          <w:rFonts w:ascii="Myriad Pro" w:hAnsi="Myriad Pro" w:cs="Calibri"/>
          <w:sz w:val="22"/>
          <w:szCs w:val="22"/>
        </w:rPr>
        <w:t>”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1CAEB0E2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</w:t>
      </w:r>
      <w:r w:rsidR="003852CD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Services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65"/>
        <w:gridCol w:w="1105"/>
        <w:gridCol w:w="1134"/>
        <w:gridCol w:w="1134"/>
        <w:gridCol w:w="1343"/>
      </w:tblGrid>
      <w:tr w:rsidR="00130C2E" w:rsidRPr="00130C2E" w14:paraId="623D55CE" w14:textId="77777777" w:rsidTr="009360F0">
        <w:tc>
          <w:tcPr>
            <w:tcW w:w="709" w:type="dxa"/>
          </w:tcPr>
          <w:p w14:paraId="5B2BC854" w14:textId="77777777" w:rsidR="00130C2E" w:rsidRPr="00191B01" w:rsidRDefault="00130C2E" w:rsidP="00130C2E">
            <w:pPr>
              <w:rPr>
                <w:b/>
                <w:sz w:val="22"/>
                <w:szCs w:val="22"/>
                <w:lang w:val="en-GB"/>
              </w:rPr>
            </w:pPr>
            <w:r w:rsidRPr="00191B01">
              <w:rPr>
                <w:b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4565" w:type="dxa"/>
            <w:vAlign w:val="center"/>
          </w:tcPr>
          <w:p w14:paraId="39B131C2" w14:textId="796CFF2F" w:rsidR="00130C2E" w:rsidRPr="00191B01" w:rsidRDefault="00130C2E" w:rsidP="00130C2E">
            <w:pPr>
              <w:rPr>
                <w:b/>
                <w:sz w:val="22"/>
                <w:szCs w:val="22"/>
                <w:lang w:val="en-GB"/>
              </w:rPr>
            </w:pPr>
            <w:r w:rsidRPr="00191B01">
              <w:rPr>
                <w:b/>
                <w:sz w:val="22"/>
                <w:szCs w:val="22"/>
                <w:lang w:val="en-GB"/>
              </w:rPr>
              <w:t>Description</w:t>
            </w:r>
            <w:r w:rsidR="00191B01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191B01">
              <w:rPr>
                <w:b/>
                <w:sz w:val="22"/>
                <w:szCs w:val="22"/>
                <w:lang w:val="en-GB"/>
              </w:rPr>
              <w:t>/</w:t>
            </w:r>
            <w:r w:rsidR="00191B01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191B01">
              <w:rPr>
                <w:b/>
                <w:sz w:val="22"/>
                <w:szCs w:val="22"/>
                <w:lang w:val="en-GB"/>
              </w:rPr>
              <w:t>Specification of Services</w:t>
            </w:r>
          </w:p>
        </w:tc>
        <w:tc>
          <w:tcPr>
            <w:tcW w:w="1105" w:type="dxa"/>
            <w:vAlign w:val="center"/>
          </w:tcPr>
          <w:p w14:paraId="5DCEA0E3" w14:textId="77777777" w:rsidR="00130C2E" w:rsidRPr="00191B01" w:rsidRDefault="00130C2E" w:rsidP="00130C2E">
            <w:pPr>
              <w:jc w:val="center"/>
              <w:rPr>
                <w:b/>
                <w:lang w:val="en-GB"/>
              </w:rPr>
            </w:pPr>
            <w:r w:rsidRPr="00191B01">
              <w:rPr>
                <w:b/>
                <w:lang w:val="en-GB"/>
              </w:rPr>
              <w:t>Quantity</w:t>
            </w:r>
          </w:p>
        </w:tc>
        <w:tc>
          <w:tcPr>
            <w:tcW w:w="1134" w:type="dxa"/>
          </w:tcPr>
          <w:p w14:paraId="5AFF1442" w14:textId="77777777" w:rsidR="00130C2E" w:rsidRPr="00191B01" w:rsidRDefault="00130C2E" w:rsidP="00130C2E">
            <w:pPr>
              <w:jc w:val="center"/>
              <w:rPr>
                <w:b/>
                <w:lang w:val="en-GB"/>
              </w:rPr>
            </w:pPr>
            <w:r w:rsidRPr="00191B01">
              <w:rPr>
                <w:b/>
                <w:lang w:val="en-GB"/>
              </w:rPr>
              <w:t>Latest Delivery Date</w:t>
            </w:r>
          </w:p>
        </w:tc>
        <w:tc>
          <w:tcPr>
            <w:tcW w:w="1134" w:type="dxa"/>
          </w:tcPr>
          <w:p w14:paraId="06B9021E" w14:textId="77777777" w:rsidR="00130C2E" w:rsidRPr="00191B01" w:rsidRDefault="00130C2E" w:rsidP="00130C2E">
            <w:pPr>
              <w:jc w:val="center"/>
              <w:rPr>
                <w:b/>
                <w:lang w:val="en-GB"/>
              </w:rPr>
            </w:pPr>
            <w:r w:rsidRPr="00191B01">
              <w:rPr>
                <w:b/>
                <w:lang w:val="en-GB"/>
              </w:rPr>
              <w:t>Unit Price</w:t>
            </w:r>
          </w:p>
          <w:p w14:paraId="02930016" w14:textId="43C34C29" w:rsidR="00130C2E" w:rsidRPr="00191B01" w:rsidRDefault="00130C2E" w:rsidP="00130C2E">
            <w:pPr>
              <w:jc w:val="center"/>
              <w:rPr>
                <w:b/>
                <w:lang w:val="en-GB"/>
              </w:rPr>
            </w:pPr>
            <w:r w:rsidRPr="00191B01">
              <w:rPr>
                <w:b/>
                <w:lang w:val="en-GB"/>
              </w:rPr>
              <w:t>(USD)</w:t>
            </w:r>
            <w:r w:rsidR="00CA0D15">
              <w:rPr>
                <w:b/>
                <w:lang w:val="en-GB"/>
              </w:rPr>
              <w:t>, TVA 0%</w:t>
            </w:r>
          </w:p>
        </w:tc>
        <w:tc>
          <w:tcPr>
            <w:tcW w:w="1343" w:type="dxa"/>
          </w:tcPr>
          <w:p w14:paraId="5C76EE88" w14:textId="77777777" w:rsidR="00130C2E" w:rsidRPr="00191B01" w:rsidRDefault="00130C2E" w:rsidP="00130C2E">
            <w:pPr>
              <w:jc w:val="center"/>
              <w:rPr>
                <w:b/>
                <w:lang w:val="en-GB"/>
              </w:rPr>
            </w:pPr>
            <w:r w:rsidRPr="00191B01">
              <w:rPr>
                <w:b/>
                <w:lang w:val="en-GB"/>
              </w:rPr>
              <w:t>Total Price</w:t>
            </w:r>
          </w:p>
          <w:p w14:paraId="59A9CD7F" w14:textId="358E10ED" w:rsidR="00130C2E" w:rsidRPr="00191B01" w:rsidRDefault="00130C2E" w:rsidP="00130C2E">
            <w:pPr>
              <w:jc w:val="center"/>
              <w:rPr>
                <w:b/>
                <w:lang w:val="en-GB"/>
              </w:rPr>
            </w:pPr>
            <w:r w:rsidRPr="00191B01">
              <w:rPr>
                <w:b/>
                <w:lang w:val="en-GB"/>
              </w:rPr>
              <w:t>(USD)</w:t>
            </w:r>
            <w:r w:rsidR="00CA0D15">
              <w:rPr>
                <w:b/>
                <w:lang w:val="en-GB"/>
              </w:rPr>
              <w:t>, TVA 0%</w:t>
            </w:r>
          </w:p>
        </w:tc>
      </w:tr>
      <w:tr w:rsidR="00130C2E" w:rsidRPr="00130C2E" w14:paraId="258B6A5F" w14:textId="77777777" w:rsidTr="00130C2E">
        <w:tc>
          <w:tcPr>
            <w:tcW w:w="709" w:type="dxa"/>
            <w:shd w:val="clear" w:color="auto" w:fill="D6E3BC"/>
            <w:vAlign w:val="center"/>
          </w:tcPr>
          <w:p w14:paraId="6611A36A" w14:textId="77777777" w:rsidR="00130C2E" w:rsidRPr="00191B01" w:rsidRDefault="00130C2E" w:rsidP="00130C2E">
            <w:pPr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D6E3BC"/>
          </w:tcPr>
          <w:p w14:paraId="4DB702B5" w14:textId="7DD41BB7" w:rsidR="00130C2E" w:rsidRPr="00191B01" w:rsidRDefault="003B2CDE" w:rsidP="00130C2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91B01">
              <w:rPr>
                <w:b/>
                <w:sz w:val="22"/>
                <w:szCs w:val="22"/>
                <w:lang w:val="en-GB"/>
              </w:rPr>
              <w:t>Site – Chisinau</w:t>
            </w:r>
            <w:r w:rsidR="0027681D" w:rsidRPr="00191B01">
              <w:rPr>
                <w:b/>
                <w:sz w:val="22"/>
                <w:szCs w:val="22"/>
                <w:lang w:val="en-GB"/>
              </w:rPr>
              <w:t xml:space="preserve">, </w:t>
            </w:r>
            <w:r w:rsidRPr="00191B01">
              <w:rPr>
                <w:b/>
                <w:sz w:val="22"/>
                <w:szCs w:val="22"/>
                <w:lang w:val="en-GB"/>
              </w:rPr>
              <w:t xml:space="preserve">53, </w:t>
            </w:r>
            <w:proofErr w:type="spellStart"/>
            <w:r w:rsidRPr="00191B01">
              <w:rPr>
                <w:b/>
                <w:sz w:val="22"/>
                <w:szCs w:val="22"/>
                <w:lang w:val="en-GB"/>
              </w:rPr>
              <w:t>Hincesti</w:t>
            </w:r>
            <w:proofErr w:type="spellEnd"/>
            <w:r w:rsidRPr="00191B01">
              <w:rPr>
                <w:b/>
                <w:sz w:val="22"/>
                <w:szCs w:val="22"/>
                <w:lang w:val="en-GB"/>
              </w:rPr>
              <w:t xml:space="preserve"> str.</w:t>
            </w:r>
          </w:p>
        </w:tc>
        <w:tc>
          <w:tcPr>
            <w:tcW w:w="1105" w:type="dxa"/>
            <w:shd w:val="clear" w:color="auto" w:fill="D6E3BC"/>
            <w:vAlign w:val="center"/>
          </w:tcPr>
          <w:p w14:paraId="00EFB47F" w14:textId="77777777" w:rsidR="00130C2E" w:rsidRPr="00191B01" w:rsidRDefault="00130C2E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06EC1E58" w14:textId="77777777" w:rsidR="00130C2E" w:rsidRPr="00191B01" w:rsidRDefault="00130C2E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14:paraId="2B54BDE9" w14:textId="77777777" w:rsidR="00130C2E" w:rsidRPr="00191B01" w:rsidRDefault="00130C2E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D6E3BC"/>
            <w:vAlign w:val="center"/>
          </w:tcPr>
          <w:p w14:paraId="6D064B80" w14:textId="77777777" w:rsidR="00130C2E" w:rsidRPr="00191B01" w:rsidRDefault="00130C2E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130C2E" w:rsidRPr="00130C2E" w14:paraId="5BD372EA" w14:textId="77777777" w:rsidTr="0027681D">
        <w:trPr>
          <w:trHeight w:val="116"/>
        </w:trPr>
        <w:tc>
          <w:tcPr>
            <w:tcW w:w="709" w:type="dxa"/>
            <w:vAlign w:val="center"/>
          </w:tcPr>
          <w:p w14:paraId="125ACA44" w14:textId="77777777" w:rsidR="00130C2E" w:rsidRPr="00191B01" w:rsidRDefault="00130C2E" w:rsidP="00130C2E">
            <w:pPr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</w:tcPr>
          <w:p w14:paraId="400E3F83" w14:textId="467B7FEC" w:rsidR="00130C2E" w:rsidRPr="00191B01" w:rsidRDefault="00130C2E" w:rsidP="00E856A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7DA74FE4" w14:textId="77777777" w:rsidR="00130C2E" w:rsidRPr="00191B01" w:rsidRDefault="00130C2E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6B0CCBA" w14:textId="77777777" w:rsidR="00130C2E" w:rsidRPr="00191B01" w:rsidRDefault="00130C2E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7AAA875" w14:textId="77777777" w:rsidR="00130C2E" w:rsidRPr="00191B01" w:rsidRDefault="00130C2E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090D3C6A" w14:textId="77777777" w:rsidR="00130C2E" w:rsidRPr="00191B01" w:rsidRDefault="00130C2E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130C2E" w:rsidRPr="00130C2E" w14:paraId="3B5AA3B3" w14:textId="77777777" w:rsidTr="002E0C22">
        <w:trPr>
          <w:trHeight w:val="814"/>
        </w:trPr>
        <w:tc>
          <w:tcPr>
            <w:tcW w:w="709" w:type="dxa"/>
            <w:vAlign w:val="center"/>
          </w:tcPr>
          <w:p w14:paraId="59EC74FD" w14:textId="77777777" w:rsidR="00130C2E" w:rsidRPr="00191B01" w:rsidRDefault="00130C2E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565" w:type="dxa"/>
            <w:vAlign w:val="center"/>
          </w:tcPr>
          <w:p w14:paraId="5F510306" w14:textId="29DB0DDB" w:rsidR="00130C2E" w:rsidRPr="00191B01" w:rsidRDefault="002E0C22" w:rsidP="003B2C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91B01">
              <w:rPr>
                <w:rFonts w:eastAsia="Calibri"/>
                <w:sz w:val="22"/>
                <w:szCs w:val="22"/>
              </w:rPr>
              <w:t xml:space="preserve">Detailed layout </w:t>
            </w:r>
            <w:r w:rsidR="00E856AB" w:rsidRPr="00191B01">
              <w:rPr>
                <w:rFonts w:eastAsia="Calibri"/>
                <w:sz w:val="22"/>
                <w:szCs w:val="22"/>
              </w:rPr>
              <w:t xml:space="preserve">of </w:t>
            </w:r>
            <w:r w:rsidR="003B2CDE" w:rsidRPr="00191B01">
              <w:rPr>
                <w:rFonts w:eastAsia="Calibri"/>
                <w:sz w:val="22"/>
                <w:szCs w:val="22"/>
              </w:rPr>
              <w:t>NEA’s General Employment Direction in Chisinau</w:t>
            </w:r>
            <w:r w:rsidR="0027681D" w:rsidRPr="00191B01">
              <w:rPr>
                <w:rFonts w:eastAsia="Calibri"/>
                <w:sz w:val="22"/>
                <w:szCs w:val="22"/>
              </w:rPr>
              <w:t>,</w:t>
            </w:r>
            <w:r w:rsidR="00A707B4" w:rsidRPr="00191B01">
              <w:rPr>
                <w:rFonts w:eastAsia="Calibri"/>
                <w:sz w:val="22"/>
                <w:szCs w:val="22"/>
              </w:rPr>
              <w:t xml:space="preserve"> </w:t>
            </w:r>
            <w:r w:rsidR="0027681D" w:rsidRPr="00191B01">
              <w:rPr>
                <w:rFonts w:eastAsia="Calibri"/>
                <w:sz w:val="22"/>
                <w:szCs w:val="22"/>
              </w:rPr>
              <w:t xml:space="preserve">new </w:t>
            </w:r>
            <w:r w:rsidRPr="00191B01">
              <w:rPr>
                <w:rFonts w:eastAsia="Calibri"/>
                <w:sz w:val="22"/>
                <w:szCs w:val="22"/>
              </w:rPr>
              <w:t xml:space="preserve">technological plan with layout </w:t>
            </w:r>
            <w:r w:rsidR="005F45CD" w:rsidRPr="00191B01">
              <w:rPr>
                <w:rFonts w:eastAsia="Calibri"/>
                <w:sz w:val="22"/>
                <w:szCs w:val="22"/>
              </w:rPr>
              <w:t>of equipment and furniture</w:t>
            </w:r>
          </w:p>
        </w:tc>
        <w:tc>
          <w:tcPr>
            <w:tcW w:w="1105" w:type="dxa"/>
            <w:vAlign w:val="center"/>
          </w:tcPr>
          <w:p w14:paraId="41EDD359" w14:textId="77777777" w:rsidR="00130C2E" w:rsidRPr="00191B01" w:rsidRDefault="00130C2E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BD1D2D3" w14:textId="77777777" w:rsidR="00130C2E" w:rsidRPr="00191B01" w:rsidRDefault="00130C2E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B91CC29" w14:textId="77777777" w:rsidR="00130C2E" w:rsidRPr="00191B01" w:rsidRDefault="00130C2E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4351FCC3" w14:textId="77777777" w:rsidR="00130C2E" w:rsidRPr="00191B01" w:rsidRDefault="00130C2E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5F45CD" w:rsidRPr="00130C2E" w14:paraId="1043EC75" w14:textId="77777777" w:rsidTr="002E0C22">
        <w:trPr>
          <w:trHeight w:val="827"/>
        </w:trPr>
        <w:tc>
          <w:tcPr>
            <w:tcW w:w="709" w:type="dxa"/>
            <w:vAlign w:val="center"/>
          </w:tcPr>
          <w:p w14:paraId="68B3AD24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vAlign w:val="center"/>
          </w:tcPr>
          <w:p w14:paraId="5006373D" w14:textId="5C5C2083" w:rsidR="005F45CD" w:rsidRPr="00191B01" w:rsidRDefault="005F45CD" w:rsidP="000E21D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91B01">
              <w:rPr>
                <w:rFonts w:eastAsia="Calibri"/>
                <w:sz w:val="22"/>
                <w:szCs w:val="22"/>
              </w:rPr>
              <w:t xml:space="preserve">Detailed design of  </w:t>
            </w:r>
            <w:r w:rsidR="003B2CDE" w:rsidRPr="00191B01">
              <w:rPr>
                <w:rFonts w:eastAsia="Calibri"/>
                <w:sz w:val="22"/>
                <w:szCs w:val="22"/>
              </w:rPr>
              <w:t>NEA’s General Employment Direction in Chisinau</w:t>
            </w:r>
            <w:r w:rsidRPr="00191B01">
              <w:rPr>
                <w:rFonts w:eastAsia="Calibri"/>
                <w:sz w:val="22"/>
                <w:szCs w:val="22"/>
              </w:rPr>
              <w:t>, including internal</w:t>
            </w:r>
            <w:r w:rsidR="002E0C22" w:rsidRPr="00191B01">
              <w:rPr>
                <w:rFonts w:eastAsia="Calibri"/>
                <w:sz w:val="22"/>
                <w:szCs w:val="22"/>
              </w:rPr>
              <w:t xml:space="preserve"> reconstruction works</w:t>
            </w:r>
            <w:r w:rsidRPr="00191B01">
              <w:rPr>
                <w:rFonts w:eastAsia="Calibri"/>
                <w:sz w:val="22"/>
                <w:szCs w:val="22"/>
              </w:rPr>
              <w:t xml:space="preserve"> </w:t>
            </w:r>
            <w:r w:rsidR="002E0C22" w:rsidRPr="00191B01">
              <w:rPr>
                <w:rFonts w:eastAsia="Calibri"/>
                <w:sz w:val="22"/>
                <w:szCs w:val="22"/>
              </w:rPr>
              <w:t xml:space="preserve">and </w:t>
            </w:r>
            <w:r w:rsidRPr="00191B01">
              <w:rPr>
                <w:rFonts w:eastAsia="Calibri"/>
                <w:sz w:val="22"/>
                <w:szCs w:val="22"/>
              </w:rPr>
              <w:t>engineering systems;</w:t>
            </w:r>
          </w:p>
        </w:tc>
        <w:tc>
          <w:tcPr>
            <w:tcW w:w="1105" w:type="dxa"/>
            <w:vAlign w:val="center"/>
          </w:tcPr>
          <w:p w14:paraId="1981EDFD" w14:textId="5E2E8F94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2893B9AF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6473FF2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366D0ACB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5F45CD" w:rsidRPr="00130C2E" w14:paraId="0CBD75BC" w14:textId="77777777" w:rsidTr="002E0C22">
        <w:trPr>
          <w:trHeight w:val="569"/>
        </w:trPr>
        <w:tc>
          <w:tcPr>
            <w:tcW w:w="709" w:type="dxa"/>
            <w:vAlign w:val="center"/>
          </w:tcPr>
          <w:p w14:paraId="1F46E238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565" w:type="dxa"/>
            <w:vAlign w:val="center"/>
          </w:tcPr>
          <w:p w14:paraId="7D615029" w14:textId="48B687E5" w:rsidR="005F45CD" w:rsidRPr="00191B01" w:rsidRDefault="003B2CDE" w:rsidP="002E0C2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91B01">
              <w:rPr>
                <w:rFonts w:eastAsia="Calibri"/>
                <w:sz w:val="22"/>
                <w:szCs w:val="22"/>
              </w:rPr>
              <w:t xml:space="preserve">Connection of the office of General Employment Direction </w:t>
            </w:r>
            <w:r w:rsidR="005F45CD" w:rsidRPr="00191B01">
              <w:rPr>
                <w:rFonts w:eastAsia="Calibri"/>
                <w:sz w:val="22"/>
                <w:szCs w:val="22"/>
              </w:rPr>
              <w:t>to existing utilities: water, power and sewerage;</w:t>
            </w:r>
          </w:p>
        </w:tc>
        <w:tc>
          <w:tcPr>
            <w:tcW w:w="1105" w:type="dxa"/>
            <w:vAlign w:val="center"/>
          </w:tcPr>
          <w:p w14:paraId="194D4296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4003A8D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7D306B1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5B49B7A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5F45CD" w:rsidRPr="00130C2E" w14:paraId="63A25114" w14:textId="77777777" w:rsidTr="000E21D3">
        <w:trPr>
          <w:trHeight w:val="342"/>
        </w:trPr>
        <w:tc>
          <w:tcPr>
            <w:tcW w:w="709" w:type="dxa"/>
            <w:vAlign w:val="center"/>
          </w:tcPr>
          <w:p w14:paraId="5B5A5BAD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565" w:type="dxa"/>
            <w:vAlign w:val="center"/>
          </w:tcPr>
          <w:p w14:paraId="347BE666" w14:textId="5864E069" w:rsidR="005F45CD" w:rsidRPr="00191B01" w:rsidRDefault="005F45CD" w:rsidP="00130C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91B01">
              <w:rPr>
                <w:rFonts w:eastAsia="Calibri"/>
                <w:sz w:val="22"/>
                <w:szCs w:val="22"/>
              </w:rPr>
              <w:t>General Plan of the site and land development;</w:t>
            </w:r>
          </w:p>
        </w:tc>
        <w:tc>
          <w:tcPr>
            <w:tcW w:w="1105" w:type="dxa"/>
            <w:vAlign w:val="center"/>
          </w:tcPr>
          <w:p w14:paraId="104295C6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657881AD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B13C541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0832EAC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5F45CD" w:rsidRPr="00130C2E" w14:paraId="0D1B969A" w14:textId="77777777" w:rsidTr="000E21D3">
        <w:trPr>
          <w:trHeight w:val="342"/>
        </w:trPr>
        <w:tc>
          <w:tcPr>
            <w:tcW w:w="709" w:type="dxa"/>
            <w:vAlign w:val="center"/>
          </w:tcPr>
          <w:p w14:paraId="650D48E0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4565" w:type="dxa"/>
            <w:vAlign w:val="center"/>
          </w:tcPr>
          <w:p w14:paraId="49B1A6B2" w14:textId="128A8F85" w:rsidR="005F45CD" w:rsidRPr="00191B01" w:rsidRDefault="005F45CD" w:rsidP="00130C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91B01">
              <w:rPr>
                <w:rFonts w:eastAsia="Calibri"/>
                <w:sz w:val="22"/>
                <w:szCs w:val="22"/>
              </w:rPr>
              <w:t>Design of Organization of Construction site;</w:t>
            </w:r>
          </w:p>
        </w:tc>
        <w:tc>
          <w:tcPr>
            <w:tcW w:w="1105" w:type="dxa"/>
            <w:vAlign w:val="center"/>
          </w:tcPr>
          <w:p w14:paraId="3F54D507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347D49A2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57E8865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22435B8B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5F45CD" w:rsidRPr="00130C2E" w14:paraId="56FC13DA" w14:textId="77777777" w:rsidTr="000E21D3">
        <w:trPr>
          <w:trHeight w:val="342"/>
        </w:trPr>
        <w:tc>
          <w:tcPr>
            <w:tcW w:w="709" w:type="dxa"/>
            <w:vAlign w:val="center"/>
          </w:tcPr>
          <w:p w14:paraId="766D40C6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565" w:type="dxa"/>
            <w:vAlign w:val="center"/>
          </w:tcPr>
          <w:p w14:paraId="585AD9EC" w14:textId="77777777" w:rsidR="005F45CD" w:rsidRPr="00191B01" w:rsidRDefault="005F45CD" w:rsidP="00130C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91B01">
              <w:rPr>
                <w:rFonts w:eastAsia="Calibri"/>
                <w:sz w:val="22"/>
                <w:szCs w:val="22"/>
              </w:rPr>
              <w:t>Design of the environment protection;</w:t>
            </w:r>
          </w:p>
        </w:tc>
        <w:tc>
          <w:tcPr>
            <w:tcW w:w="1105" w:type="dxa"/>
            <w:vAlign w:val="center"/>
          </w:tcPr>
          <w:p w14:paraId="30672573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00148A24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F0446FE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22455CA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5F45CD" w:rsidRPr="00130C2E" w14:paraId="5038C2EF" w14:textId="77777777" w:rsidTr="000E21D3">
        <w:trPr>
          <w:trHeight w:val="342"/>
        </w:trPr>
        <w:tc>
          <w:tcPr>
            <w:tcW w:w="709" w:type="dxa"/>
            <w:vAlign w:val="center"/>
          </w:tcPr>
          <w:p w14:paraId="1F927A7F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4565" w:type="dxa"/>
            <w:vAlign w:val="center"/>
          </w:tcPr>
          <w:p w14:paraId="51722DFB" w14:textId="17C0E703" w:rsidR="005F45CD" w:rsidRPr="00191B01" w:rsidRDefault="005F45CD" w:rsidP="00130C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91B01">
              <w:rPr>
                <w:rFonts w:eastAsia="Calibri"/>
                <w:sz w:val="22"/>
                <w:szCs w:val="22"/>
              </w:rPr>
              <w:t xml:space="preserve">Geodesic / land survey </w:t>
            </w:r>
            <w:r w:rsidR="003B2CDE" w:rsidRPr="00191B01">
              <w:rPr>
                <w:rFonts w:eastAsia="Calibri"/>
                <w:sz w:val="22"/>
                <w:szCs w:val="22"/>
              </w:rPr>
              <w:t>(0.0</w:t>
            </w:r>
            <w:r w:rsidRPr="00191B01">
              <w:rPr>
                <w:rFonts w:eastAsia="Calibri"/>
                <w:sz w:val="22"/>
                <w:szCs w:val="22"/>
              </w:rPr>
              <w:t>5ha);</w:t>
            </w:r>
          </w:p>
        </w:tc>
        <w:tc>
          <w:tcPr>
            <w:tcW w:w="1105" w:type="dxa"/>
            <w:vAlign w:val="center"/>
          </w:tcPr>
          <w:p w14:paraId="245AD9D7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C63D6E9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D387F43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B770647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5F45CD" w:rsidRPr="00130C2E" w14:paraId="54C4B2F5" w14:textId="77777777" w:rsidTr="000E21D3">
        <w:trPr>
          <w:trHeight w:val="342"/>
        </w:trPr>
        <w:tc>
          <w:tcPr>
            <w:tcW w:w="709" w:type="dxa"/>
            <w:vAlign w:val="center"/>
          </w:tcPr>
          <w:p w14:paraId="2C9B2F74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4565" w:type="dxa"/>
            <w:vAlign w:val="center"/>
          </w:tcPr>
          <w:p w14:paraId="58784CCE" w14:textId="77777777" w:rsidR="005F45CD" w:rsidRPr="00191B01" w:rsidRDefault="005F45CD" w:rsidP="00130C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91B01">
              <w:rPr>
                <w:rFonts w:eastAsia="Calibri"/>
                <w:bCs/>
                <w:sz w:val="22"/>
                <w:szCs w:val="22"/>
              </w:rPr>
              <w:t>Bill of quantities (BOQ)</w:t>
            </w:r>
            <w:r w:rsidRPr="00191B01">
              <w:rPr>
                <w:rFonts w:eastAsia="Calibri"/>
                <w:sz w:val="22"/>
                <w:szCs w:val="22"/>
              </w:rPr>
              <w:t>;</w:t>
            </w:r>
          </w:p>
        </w:tc>
        <w:tc>
          <w:tcPr>
            <w:tcW w:w="1105" w:type="dxa"/>
            <w:vAlign w:val="center"/>
          </w:tcPr>
          <w:p w14:paraId="1A27689C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4E4E01E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B76C8A0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6FB60FD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5F45CD" w:rsidRPr="00130C2E" w14:paraId="25544BC0" w14:textId="77777777" w:rsidTr="000E21D3">
        <w:trPr>
          <w:trHeight w:val="342"/>
        </w:trPr>
        <w:tc>
          <w:tcPr>
            <w:tcW w:w="709" w:type="dxa"/>
            <w:vAlign w:val="center"/>
          </w:tcPr>
          <w:p w14:paraId="1912542C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565" w:type="dxa"/>
            <w:vAlign w:val="center"/>
          </w:tcPr>
          <w:p w14:paraId="6F33D66D" w14:textId="77777777" w:rsidR="005F45CD" w:rsidRPr="00191B01" w:rsidRDefault="005F45CD" w:rsidP="00130C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91B01">
              <w:rPr>
                <w:rFonts w:eastAsia="Calibri"/>
                <w:sz w:val="22"/>
                <w:szCs w:val="22"/>
              </w:rPr>
              <w:t>Verification of the designs by Authorized Experts</w:t>
            </w:r>
          </w:p>
        </w:tc>
        <w:tc>
          <w:tcPr>
            <w:tcW w:w="1105" w:type="dxa"/>
            <w:vAlign w:val="center"/>
          </w:tcPr>
          <w:p w14:paraId="32B60783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0C4B066F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5427BA2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28DCF3D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5F45CD" w:rsidRPr="00130C2E" w14:paraId="11D357F5" w14:textId="77777777" w:rsidTr="000E21D3">
        <w:trPr>
          <w:trHeight w:val="342"/>
        </w:trPr>
        <w:tc>
          <w:tcPr>
            <w:tcW w:w="709" w:type="dxa"/>
            <w:vAlign w:val="center"/>
          </w:tcPr>
          <w:p w14:paraId="2DEAD081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4565" w:type="dxa"/>
            <w:vAlign w:val="center"/>
          </w:tcPr>
          <w:p w14:paraId="244DB0D8" w14:textId="77777777" w:rsidR="005F45CD" w:rsidRPr="00191B01" w:rsidRDefault="005F45CD" w:rsidP="00130C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1B01">
              <w:rPr>
                <w:rFonts w:eastAsia="Calibri"/>
                <w:sz w:val="22"/>
                <w:szCs w:val="22"/>
              </w:rPr>
              <w:t>Design Author’s Supervision;</w:t>
            </w:r>
          </w:p>
        </w:tc>
        <w:tc>
          <w:tcPr>
            <w:tcW w:w="1105" w:type="dxa"/>
            <w:vAlign w:val="center"/>
          </w:tcPr>
          <w:p w14:paraId="538608FD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813A66E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4E49F9C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51CBC863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5F45CD" w:rsidRPr="00130C2E" w14:paraId="0A220465" w14:textId="77777777" w:rsidTr="000E21D3">
        <w:trPr>
          <w:trHeight w:val="342"/>
        </w:trPr>
        <w:tc>
          <w:tcPr>
            <w:tcW w:w="709" w:type="dxa"/>
            <w:vAlign w:val="center"/>
          </w:tcPr>
          <w:p w14:paraId="73E20B3F" w14:textId="77777777" w:rsidR="005F45CD" w:rsidRPr="00191B01" w:rsidRDefault="005F45CD" w:rsidP="00130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B01">
              <w:rPr>
                <w:rFonts w:eastAsia="Calibri"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4565" w:type="dxa"/>
            <w:vAlign w:val="center"/>
          </w:tcPr>
          <w:p w14:paraId="41D66766" w14:textId="3B0FB348" w:rsidR="005F45CD" w:rsidRPr="00191B01" w:rsidRDefault="00191B01" w:rsidP="00130C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BO</w:t>
            </w:r>
            <w:r w:rsidR="005F45CD" w:rsidRPr="00191B01">
              <w:rPr>
                <w:rFonts w:eastAsia="Calibri"/>
                <w:sz w:val="22"/>
                <w:szCs w:val="22"/>
              </w:rPr>
              <w:t>Q, Form #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5F45CD" w:rsidRPr="00191B01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 xml:space="preserve"> – English or Russian version</w:t>
            </w:r>
          </w:p>
        </w:tc>
        <w:tc>
          <w:tcPr>
            <w:tcW w:w="1105" w:type="dxa"/>
            <w:vAlign w:val="center"/>
          </w:tcPr>
          <w:p w14:paraId="5949831A" w14:textId="77777777" w:rsidR="005F45CD" w:rsidRPr="00191B01" w:rsidRDefault="005F45CD" w:rsidP="00130C2E">
            <w:pPr>
              <w:jc w:val="center"/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74376E7C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D96766C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vAlign w:val="center"/>
          </w:tcPr>
          <w:p w14:paraId="6049CBF3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5F45CD" w:rsidRPr="00130C2E" w14:paraId="684459D0" w14:textId="77777777" w:rsidTr="00130C2E">
        <w:tc>
          <w:tcPr>
            <w:tcW w:w="709" w:type="dxa"/>
            <w:shd w:val="clear" w:color="auto" w:fill="EEECE1"/>
            <w:vAlign w:val="center"/>
          </w:tcPr>
          <w:p w14:paraId="55A94CEE" w14:textId="77777777" w:rsidR="005F45CD" w:rsidRPr="00191B01" w:rsidRDefault="005F45CD" w:rsidP="00130C2E">
            <w:pPr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4565" w:type="dxa"/>
            <w:shd w:val="clear" w:color="auto" w:fill="EEECE1"/>
          </w:tcPr>
          <w:p w14:paraId="5AF91E47" w14:textId="048D5F45" w:rsidR="005F45CD" w:rsidRPr="00191B01" w:rsidRDefault="005F45CD" w:rsidP="00130C2E">
            <w:pPr>
              <w:rPr>
                <w:b/>
                <w:sz w:val="22"/>
                <w:szCs w:val="22"/>
                <w:lang w:val="en-GB"/>
              </w:rPr>
            </w:pPr>
            <w:r w:rsidRPr="00191B01">
              <w:rPr>
                <w:b/>
                <w:sz w:val="22"/>
                <w:szCs w:val="22"/>
                <w:lang w:val="en-GB"/>
              </w:rPr>
              <w:t xml:space="preserve">TOTAL </w:t>
            </w:r>
          </w:p>
        </w:tc>
        <w:tc>
          <w:tcPr>
            <w:tcW w:w="1105" w:type="dxa"/>
            <w:shd w:val="clear" w:color="auto" w:fill="EEECE1"/>
            <w:vAlign w:val="center"/>
          </w:tcPr>
          <w:p w14:paraId="220B5F23" w14:textId="77777777" w:rsidR="005F45CD" w:rsidRPr="00191B01" w:rsidRDefault="005F45CD" w:rsidP="00130C2E">
            <w:pPr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294D9749" w14:textId="77777777" w:rsidR="005F45CD" w:rsidRPr="00191B01" w:rsidRDefault="005F45CD" w:rsidP="00130C2E">
            <w:pPr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14:paraId="20B18FA2" w14:textId="77777777" w:rsidR="005F45CD" w:rsidRPr="00191B01" w:rsidRDefault="005F45CD" w:rsidP="00130C2E">
            <w:pPr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1343" w:type="dxa"/>
            <w:shd w:val="clear" w:color="auto" w:fill="EEECE1"/>
            <w:vAlign w:val="center"/>
          </w:tcPr>
          <w:p w14:paraId="56DFF199" w14:textId="77777777" w:rsidR="005F45CD" w:rsidRPr="00191B01" w:rsidRDefault="005F45CD" w:rsidP="00130C2E">
            <w:pPr>
              <w:ind w:left="360"/>
              <w:rPr>
                <w:sz w:val="22"/>
                <w:szCs w:val="22"/>
                <w:lang w:val="en-GB"/>
              </w:rPr>
            </w:pPr>
          </w:p>
        </w:tc>
      </w:tr>
      <w:tr w:rsidR="005F45CD" w:rsidRPr="00130C2E" w14:paraId="3CC83E41" w14:textId="77777777" w:rsidTr="002E0C22">
        <w:trPr>
          <w:trHeight w:val="413"/>
        </w:trPr>
        <w:tc>
          <w:tcPr>
            <w:tcW w:w="709" w:type="dxa"/>
            <w:vAlign w:val="center"/>
          </w:tcPr>
          <w:p w14:paraId="21367B99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  <w:gridSpan w:val="4"/>
          </w:tcPr>
          <w:p w14:paraId="53F1D04F" w14:textId="048AB92B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  <w:r w:rsidRPr="00191B01">
              <w:rPr>
                <w:sz w:val="22"/>
                <w:szCs w:val="22"/>
                <w:lang w:val="en-GB"/>
              </w:rPr>
              <w:t xml:space="preserve">  Add : Other Charges (pls. specify)</w:t>
            </w:r>
          </w:p>
        </w:tc>
        <w:tc>
          <w:tcPr>
            <w:tcW w:w="1343" w:type="dxa"/>
          </w:tcPr>
          <w:p w14:paraId="7ED1416F" w14:textId="77777777" w:rsidR="005F45CD" w:rsidRPr="00191B01" w:rsidRDefault="005F45CD" w:rsidP="00130C2E">
            <w:pPr>
              <w:rPr>
                <w:sz w:val="22"/>
                <w:szCs w:val="22"/>
                <w:lang w:val="en-GB"/>
              </w:rPr>
            </w:pPr>
          </w:p>
        </w:tc>
      </w:tr>
      <w:tr w:rsidR="005F45CD" w:rsidRPr="00130C2E" w14:paraId="43A9D00C" w14:textId="77777777" w:rsidTr="009360F0">
        <w:trPr>
          <w:trHeight w:val="285"/>
        </w:trPr>
        <w:tc>
          <w:tcPr>
            <w:tcW w:w="709" w:type="dxa"/>
          </w:tcPr>
          <w:p w14:paraId="69091210" w14:textId="77777777" w:rsidR="005F45CD" w:rsidRPr="00130C2E" w:rsidRDefault="005F45CD" w:rsidP="00130C2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  <w:gridSpan w:val="4"/>
          </w:tcPr>
          <w:p w14:paraId="1C06D079" w14:textId="77777777" w:rsidR="005F45CD" w:rsidRPr="00191B01" w:rsidRDefault="005F45CD" w:rsidP="00130C2E">
            <w:pPr>
              <w:rPr>
                <w:b/>
                <w:sz w:val="22"/>
                <w:szCs w:val="22"/>
                <w:lang w:val="en-GB"/>
              </w:rPr>
            </w:pPr>
            <w:r w:rsidRPr="00191B01">
              <w:rPr>
                <w:b/>
                <w:sz w:val="22"/>
                <w:szCs w:val="22"/>
                <w:lang w:val="en-GB"/>
              </w:rPr>
              <w:t>Total Final and All-Inclusive Price Quotation</w:t>
            </w:r>
          </w:p>
        </w:tc>
        <w:tc>
          <w:tcPr>
            <w:tcW w:w="1343" w:type="dxa"/>
          </w:tcPr>
          <w:p w14:paraId="4C787192" w14:textId="77777777" w:rsidR="005F45CD" w:rsidRPr="00130C2E" w:rsidRDefault="005F45CD" w:rsidP="00130C2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7D6771EE" w14:textId="77777777" w:rsidR="00191B01" w:rsidRDefault="00191B01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CC9F11E" w14:textId="46B5D881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740C72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832DC8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191B01" w:rsidRDefault="009819A5" w:rsidP="00832DC8">
            <w:pPr>
              <w:ind w:firstLine="720"/>
              <w:rPr>
                <w:b/>
                <w:sz w:val="22"/>
                <w:szCs w:val="22"/>
              </w:rPr>
            </w:pPr>
          </w:p>
          <w:p w14:paraId="23EA521E" w14:textId="48E1805F" w:rsidR="009819A5" w:rsidRPr="00191B01" w:rsidRDefault="009819A5" w:rsidP="00832DC8">
            <w:pPr>
              <w:rPr>
                <w:b/>
                <w:sz w:val="22"/>
                <w:szCs w:val="22"/>
              </w:rPr>
            </w:pPr>
            <w:r w:rsidRPr="00191B01">
              <w:rPr>
                <w:b/>
                <w:sz w:val="22"/>
                <w:szCs w:val="22"/>
              </w:rPr>
              <w:t xml:space="preserve">Other Information pertaining to our Quotation are as </w:t>
            </w:r>
            <w:r w:rsidR="00045054" w:rsidRPr="00191B01">
              <w:rPr>
                <w:b/>
                <w:sz w:val="22"/>
                <w:szCs w:val="22"/>
              </w:rPr>
              <w:t>follows:</w:t>
            </w:r>
          </w:p>
        </w:tc>
        <w:tc>
          <w:tcPr>
            <w:tcW w:w="5310" w:type="dxa"/>
            <w:gridSpan w:val="3"/>
          </w:tcPr>
          <w:p w14:paraId="6F5D165F" w14:textId="77777777" w:rsidR="009819A5" w:rsidRPr="00191B01" w:rsidRDefault="009819A5" w:rsidP="00832DC8">
            <w:pPr>
              <w:jc w:val="center"/>
              <w:rPr>
                <w:b/>
                <w:sz w:val="22"/>
                <w:szCs w:val="22"/>
              </w:rPr>
            </w:pPr>
          </w:p>
          <w:p w14:paraId="613033AB" w14:textId="77777777" w:rsidR="009819A5" w:rsidRPr="00191B01" w:rsidRDefault="009819A5" w:rsidP="00832DC8">
            <w:pPr>
              <w:jc w:val="center"/>
              <w:rPr>
                <w:b/>
                <w:sz w:val="22"/>
                <w:szCs w:val="22"/>
              </w:rPr>
            </w:pPr>
            <w:r w:rsidRPr="00191B01">
              <w:rPr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832DC8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191B01" w:rsidRDefault="009819A5" w:rsidP="00832DC8">
            <w:pPr>
              <w:ind w:firstLine="72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191B01" w:rsidRDefault="009819A5" w:rsidP="00832DC8">
            <w:pPr>
              <w:jc w:val="center"/>
              <w:rPr>
                <w:b/>
                <w:i/>
                <w:sz w:val="22"/>
                <w:szCs w:val="22"/>
              </w:rPr>
            </w:pPr>
            <w:r w:rsidRPr="00191B01">
              <w:rPr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191B01" w:rsidRDefault="009819A5" w:rsidP="00832DC8">
            <w:pPr>
              <w:jc w:val="center"/>
              <w:rPr>
                <w:b/>
                <w:i/>
                <w:sz w:val="22"/>
                <w:szCs w:val="22"/>
              </w:rPr>
            </w:pPr>
            <w:r w:rsidRPr="00191B01">
              <w:rPr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191B01" w:rsidRDefault="009819A5" w:rsidP="00832DC8">
            <w:pPr>
              <w:jc w:val="center"/>
              <w:rPr>
                <w:b/>
                <w:i/>
                <w:sz w:val="22"/>
                <w:szCs w:val="22"/>
              </w:rPr>
            </w:pPr>
            <w:r w:rsidRPr="00191B01">
              <w:rPr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832DC8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191B01" w:rsidRDefault="009819A5" w:rsidP="00832DC8">
            <w:pPr>
              <w:rPr>
                <w:bCs/>
                <w:sz w:val="22"/>
                <w:szCs w:val="22"/>
              </w:rPr>
            </w:pPr>
            <w:r w:rsidRPr="00191B01">
              <w:rPr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191B01" w:rsidRDefault="009819A5" w:rsidP="00832D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191B01" w:rsidRDefault="009819A5" w:rsidP="00832D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191B01" w:rsidRDefault="009819A5" w:rsidP="00832DC8">
            <w:pPr>
              <w:jc w:val="right"/>
              <w:rPr>
                <w:sz w:val="22"/>
                <w:szCs w:val="22"/>
              </w:rPr>
            </w:pPr>
          </w:p>
        </w:tc>
      </w:tr>
      <w:tr w:rsidR="009819A5" w:rsidRPr="00E933A8" w14:paraId="2DEEB8D8" w14:textId="77777777" w:rsidTr="00832DC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191B01" w:rsidRDefault="009819A5" w:rsidP="00832DC8">
            <w:pPr>
              <w:rPr>
                <w:bCs/>
                <w:sz w:val="22"/>
                <w:szCs w:val="22"/>
              </w:rPr>
            </w:pPr>
            <w:r w:rsidRPr="00191B01">
              <w:rPr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191B01" w:rsidRDefault="009819A5" w:rsidP="00832D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191B01" w:rsidRDefault="009819A5" w:rsidP="00832D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191B01" w:rsidRDefault="009819A5" w:rsidP="00832DC8">
            <w:pPr>
              <w:jc w:val="right"/>
              <w:rPr>
                <w:sz w:val="22"/>
                <w:szCs w:val="22"/>
              </w:rPr>
            </w:pPr>
          </w:p>
        </w:tc>
      </w:tr>
      <w:tr w:rsidR="009819A5" w:rsidRPr="00E933A8" w14:paraId="03F2AFC1" w14:textId="77777777" w:rsidTr="00832DC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191B01" w:rsidRDefault="009819A5" w:rsidP="00832DC8">
            <w:pPr>
              <w:rPr>
                <w:bCs/>
                <w:sz w:val="22"/>
                <w:szCs w:val="22"/>
              </w:rPr>
            </w:pPr>
            <w:r w:rsidRPr="00191B01">
              <w:rPr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191B01" w:rsidRDefault="009819A5" w:rsidP="00832D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191B01" w:rsidRDefault="009819A5" w:rsidP="00832D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191B01" w:rsidRDefault="009819A5" w:rsidP="00832DC8">
            <w:pPr>
              <w:jc w:val="right"/>
              <w:rPr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054A3FEC" w14:textId="77777777" w:rsidR="00045054" w:rsidRDefault="00045054" w:rsidP="009819A5">
      <w:pPr>
        <w:ind w:left="3960"/>
        <w:rPr>
          <w:rFonts w:ascii="Calibri" w:hAnsi="Calibri" w:cs="Calibri"/>
          <w:i/>
          <w:sz w:val="22"/>
          <w:szCs w:val="22"/>
        </w:rPr>
      </w:pPr>
    </w:p>
    <w:p w14:paraId="1C6EAF60" w14:textId="77777777" w:rsidR="00045054" w:rsidRDefault="00045054" w:rsidP="009819A5">
      <w:pPr>
        <w:ind w:left="3960"/>
        <w:rPr>
          <w:rFonts w:ascii="Calibri" w:hAnsi="Calibri" w:cs="Calibri"/>
          <w:i/>
          <w:sz w:val="22"/>
          <w:szCs w:val="22"/>
        </w:rPr>
      </w:pPr>
    </w:p>
    <w:p w14:paraId="1B7340E6" w14:textId="0DC367B8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BFCB9C" w14:textId="043FCB49" w:rsidR="00CA1E77" w:rsidRPr="00CA1E77" w:rsidRDefault="009819A5" w:rsidP="006B03A0">
      <w:pPr>
        <w:ind w:left="3960"/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DBDC55F" w14:textId="77777777" w:rsidR="00CA1E77" w:rsidRPr="00CA1E77" w:rsidRDefault="00CA1E77" w:rsidP="00CA1E77"/>
    <w:sectPr w:rsidR="00CA1E77" w:rsidRPr="00CA1E77" w:rsidSect="003A3FE7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C7C3" w14:textId="77777777" w:rsidR="006D2365" w:rsidRDefault="006D2365">
      <w:r>
        <w:separator/>
      </w:r>
    </w:p>
  </w:endnote>
  <w:endnote w:type="continuationSeparator" w:id="0">
    <w:p w14:paraId="1CD79A1D" w14:textId="77777777" w:rsidR="006D2365" w:rsidRDefault="006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yriad Pro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C226FA" w:rsidRDefault="00C22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C226FA" w:rsidRDefault="00C226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463859EB" w:rsidR="00C226FA" w:rsidRPr="00E30E5D" w:rsidRDefault="00C226FA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191B01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191B01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C226FA" w:rsidRDefault="00C226FA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C226FA" w:rsidRPr="00055F8E" w:rsidRDefault="00C226F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C226FA" w:rsidRPr="00055F8E" w:rsidRDefault="00C226F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C226FA" w:rsidRDefault="00C226FA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C226FA" w:rsidRPr="00055F8E" w:rsidRDefault="00C226F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C226FA" w:rsidRPr="00055F8E" w:rsidRDefault="00C226F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C226FA" w:rsidRDefault="00C226FA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B7AB" w14:textId="77777777" w:rsidR="006D2365" w:rsidRDefault="006D2365">
      <w:r>
        <w:separator/>
      </w:r>
    </w:p>
  </w:footnote>
  <w:footnote w:type="continuationSeparator" w:id="0">
    <w:p w14:paraId="3ED2C3ED" w14:textId="77777777" w:rsidR="006D2365" w:rsidRDefault="006D2365">
      <w:r>
        <w:continuationSeparator/>
      </w:r>
    </w:p>
  </w:footnote>
  <w:footnote w:id="1">
    <w:p w14:paraId="049A9E19" w14:textId="77777777" w:rsidR="00C226FA" w:rsidRPr="007E6019" w:rsidRDefault="00C226FA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A571" w14:textId="77777777" w:rsidR="00C226FA" w:rsidRDefault="00C226FA" w:rsidP="00F67875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62E72FDB" wp14:editId="5A23CE48">
          <wp:simplePos x="0" y="0"/>
          <wp:positionH relativeFrom="margin">
            <wp:posOffset>5384165</wp:posOffset>
          </wp:positionH>
          <wp:positionV relativeFrom="page">
            <wp:posOffset>457200</wp:posOffset>
          </wp:positionV>
          <wp:extent cx="755650" cy="1478915"/>
          <wp:effectExtent l="0" t="0" r="6350" b="6985"/>
          <wp:wrapNone/>
          <wp:docPr id="5" name="Picture 5" descr="UNDP_Logo-Blue w Tagline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DP_Logo-Blue w Tagline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 wp14:anchorId="2AAD8550" wp14:editId="5DE009C7">
          <wp:simplePos x="0" y="0"/>
          <wp:positionH relativeFrom="column">
            <wp:posOffset>3810</wp:posOffset>
          </wp:positionH>
          <wp:positionV relativeFrom="paragraph">
            <wp:posOffset>-1325245</wp:posOffset>
          </wp:positionV>
          <wp:extent cx="2400300" cy="123825"/>
          <wp:effectExtent l="0" t="0" r="0" b="9525"/>
          <wp:wrapNone/>
          <wp:docPr id="6" name="Picture 6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66A"/>
    <w:multiLevelType w:val="hybridMultilevel"/>
    <w:tmpl w:val="8A44E7F8"/>
    <w:lvl w:ilvl="0" w:tplc="EF4AA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58BE"/>
    <w:multiLevelType w:val="hybridMultilevel"/>
    <w:tmpl w:val="E9A4E286"/>
    <w:lvl w:ilvl="0" w:tplc="B05078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6F7D"/>
    <w:multiLevelType w:val="hybridMultilevel"/>
    <w:tmpl w:val="6CF8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67EE7"/>
    <w:multiLevelType w:val="hybridMultilevel"/>
    <w:tmpl w:val="85F0A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A2534"/>
    <w:multiLevelType w:val="hybridMultilevel"/>
    <w:tmpl w:val="0F56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66A1E6B"/>
    <w:multiLevelType w:val="hybridMultilevel"/>
    <w:tmpl w:val="40B6E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749F42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20"/>
  </w:num>
  <w:num w:numId="11">
    <w:abstractNumId w:val="17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"/>
  </w:num>
  <w:num w:numId="17">
    <w:abstractNumId w:val="8"/>
  </w:num>
  <w:num w:numId="18">
    <w:abstractNumId w:val="19"/>
  </w:num>
  <w:num w:numId="19">
    <w:abstractNumId w:val="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58"/>
    <w:rsid w:val="00001429"/>
    <w:rsid w:val="00012CEA"/>
    <w:rsid w:val="00017126"/>
    <w:rsid w:val="00026037"/>
    <w:rsid w:val="00026D28"/>
    <w:rsid w:val="00045054"/>
    <w:rsid w:val="0005008E"/>
    <w:rsid w:val="000977E9"/>
    <w:rsid w:val="000B0162"/>
    <w:rsid w:val="000B4F66"/>
    <w:rsid w:val="000E21D3"/>
    <w:rsid w:val="000F17AB"/>
    <w:rsid w:val="000F1C7D"/>
    <w:rsid w:val="000F32BB"/>
    <w:rsid w:val="000F57D5"/>
    <w:rsid w:val="000F680E"/>
    <w:rsid w:val="001006BE"/>
    <w:rsid w:val="0010077B"/>
    <w:rsid w:val="001253FB"/>
    <w:rsid w:val="00130131"/>
    <w:rsid w:val="00130C2E"/>
    <w:rsid w:val="00170AD5"/>
    <w:rsid w:val="00190B58"/>
    <w:rsid w:val="00191B01"/>
    <w:rsid w:val="0019525F"/>
    <w:rsid w:val="001B2854"/>
    <w:rsid w:val="001C0C0C"/>
    <w:rsid w:val="001D2203"/>
    <w:rsid w:val="001D3725"/>
    <w:rsid w:val="001F44BF"/>
    <w:rsid w:val="00207B63"/>
    <w:rsid w:val="002353AB"/>
    <w:rsid w:val="0027681D"/>
    <w:rsid w:val="00291292"/>
    <w:rsid w:val="002A6CD7"/>
    <w:rsid w:val="002C1F68"/>
    <w:rsid w:val="002D431F"/>
    <w:rsid w:val="002E0C22"/>
    <w:rsid w:val="00322BFC"/>
    <w:rsid w:val="003255F3"/>
    <w:rsid w:val="00340806"/>
    <w:rsid w:val="00341A0D"/>
    <w:rsid w:val="0035298C"/>
    <w:rsid w:val="003542F0"/>
    <w:rsid w:val="00366DB9"/>
    <w:rsid w:val="00375A7E"/>
    <w:rsid w:val="003852CD"/>
    <w:rsid w:val="003952D0"/>
    <w:rsid w:val="003A0FAA"/>
    <w:rsid w:val="003A3FE7"/>
    <w:rsid w:val="003A5F77"/>
    <w:rsid w:val="003B2CDE"/>
    <w:rsid w:val="003E05C1"/>
    <w:rsid w:val="003E7543"/>
    <w:rsid w:val="003E7D53"/>
    <w:rsid w:val="003F68EA"/>
    <w:rsid w:val="004177DD"/>
    <w:rsid w:val="00433A66"/>
    <w:rsid w:val="00482D98"/>
    <w:rsid w:val="00485E3F"/>
    <w:rsid w:val="004A7C90"/>
    <w:rsid w:val="004B01E3"/>
    <w:rsid w:val="004C22BD"/>
    <w:rsid w:val="004E18A8"/>
    <w:rsid w:val="005056AF"/>
    <w:rsid w:val="00515357"/>
    <w:rsid w:val="00527451"/>
    <w:rsid w:val="005608EA"/>
    <w:rsid w:val="00564FD2"/>
    <w:rsid w:val="00584677"/>
    <w:rsid w:val="005B4F1B"/>
    <w:rsid w:val="005C67F5"/>
    <w:rsid w:val="005D4AD7"/>
    <w:rsid w:val="005D7049"/>
    <w:rsid w:val="005F382D"/>
    <w:rsid w:val="005F45CD"/>
    <w:rsid w:val="00625434"/>
    <w:rsid w:val="006278A4"/>
    <w:rsid w:val="00627B74"/>
    <w:rsid w:val="00661962"/>
    <w:rsid w:val="006619C8"/>
    <w:rsid w:val="00664257"/>
    <w:rsid w:val="00690647"/>
    <w:rsid w:val="00692ABB"/>
    <w:rsid w:val="006B03A0"/>
    <w:rsid w:val="006B201C"/>
    <w:rsid w:val="006C40A0"/>
    <w:rsid w:val="006D2365"/>
    <w:rsid w:val="006D3144"/>
    <w:rsid w:val="006D5936"/>
    <w:rsid w:val="006E1749"/>
    <w:rsid w:val="006F43FE"/>
    <w:rsid w:val="006F5558"/>
    <w:rsid w:val="007000F0"/>
    <w:rsid w:val="00710E36"/>
    <w:rsid w:val="00723076"/>
    <w:rsid w:val="007252C4"/>
    <w:rsid w:val="00725F6C"/>
    <w:rsid w:val="00730E66"/>
    <w:rsid w:val="00731DDD"/>
    <w:rsid w:val="00740C72"/>
    <w:rsid w:val="007528AD"/>
    <w:rsid w:val="0076461B"/>
    <w:rsid w:val="007726DC"/>
    <w:rsid w:val="007A1880"/>
    <w:rsid w:val="007A6E9E"/>
    <w:rsid w:val="007D6177"/>
    <w:rsid w:val="007F52F8"/>
    <w:rsid w:val="00802D8B"/>
    <w:rsid w:val="00805C17"/>
    <w:rsid w:val="00827B9A"/>
    <w:rsid w:val="0083028D"/>
    <w:rsid w:val="00832DC8"/>
    <w:rsid w:val="00850C75"/>
    <w:rsid w:val="0086282D"/>
    <w:rsid w:val="008716F7"/>
    <w:rsid w:val="00881191"/>
    <w:rsid w:val="00881373"/>
    <w:rsid w:val="00884F6A"/>
    <w:rsid w:val="008A3A41"/>
    <w:rsid w:val="008A7FE7"/>
    <w:rsid w:val="008D03CE"/>
    <w:rsid w:val="008D6FEE"/>
    <w:rsid w:val="00917F4F"/>
    <w:rsid w:val="00920ED4"/>
    <w:rsid w:val="00926069"/>
    <w:rsid w:val="00926558"/>
    <w:rsid w:val="009336AE"/>
    <w:rsid w:val="00970B56"/>
    <w:rsid w:val="00971833"/>
    <w:rsid w:val="00973FC8"/>
    <w:rsid w:val="009819A5"/>
    <w:rsid w:val="00994125"/>
    <w:rsid w:val="009A1531"/>
    <w:rsid w:val="009B54B9"/>
    <w:rsid w:val="009D0E1E"/>
    <w:rsid w:val="009D39D0"/>
    <w:rsid w:val="009E026E"/>
    <w:rsid w:val="009F2809"/>
    <w:rsid w:val="00A04517"/>
    <w:rsid w:val="00A11DE1"/>
    <w:rsid w:val="00A1230C"/>
    <w:rsid w:val="00A67D16"/>
    <w:rsid w:val="00A707B4"/>
    <w:rsid w:val="00AF413F"/>
    <w:rsid w:val="00B13AC0"/>
    <w:rsid w:val="00B26F7D"/>
    <w:rsid w:val="00B32E94"/>
    <w:rsid w:val="00B70AE0"/>
    <w:rsid w:val="00B9167F"/>
    <w:rsid w:val="00B96A9C"/>
    <w:rsid w:val="00BC36B2"/>
    <w:rsid w:val="00BE6A46"/>
    <w:rsid w:val="00C02885"/>
    <w:rsid w:val="00C1011E"/>
    <w:rsid w:val="00C15080"/>
    <w:rsid w:val="00C226FA"/>
    <w:rsid w:val="00C241A9"/>
    <w:rsid w:val="00C442BC"/>
    <w:rsid w:val="00C50DFC"/>
    <w:rsid w:val="00C523AB"/>
    <w:rsid w:val="00C52E44"/>
    <w:rsid w:val="00C6461F"/>
    <w:rsid w:val="00C94E07"/>
    <w:rsid w:val="00CA0D15"/>
    <w:rsid w:val="00CA1E77"/>
    <w:rsid w:val="00CB08F3"/>
    <w:rsid w:val="00CC2EA3"/>
    <w:rsid w:val="00CC53FD"/>
    <w:rsid w:val="00CC550E"/>
    <w:rsid w:val="00CD7686"/>
    <w:rsid w:val="00D26E56"/>
    <w:rsid w:val="00D37D7F"/>
    <w:rsid w:val="00D46CB5"/>
    <w:rsid w:val="00D56C99"/>
    <w:rsid w:val="00D66133"/>
    <w:rsid w:val="00D7288B"/>
    <w:rsid w:val="00D7617B"/>
    <w:rsid w:val="00D94758"/>
    <w:rsid w:val="00D9535B"/>
    <w:rsid w:val="00DA4FFF"/>
    <w:rsid w:val="00DE2340"/>
    <w:rsid w:val="00DF0FB8"/>
    <w:rsid w:val="00DF27BE"/>
    <w:rsid w:val="00DF4F4E"/>
    <w:rsid w:val="00E04185"/>
    <w:rsid w:val="00E0557B"/>
    <w:rsid w:val="00E07B74"/>
    <w:rsid w:val="00E1278E"/>
    <w:rsid w:val="00E3001D"/>
    <w:rsid w:val="00E30E5D"/>
    <w:rsid w:val="00E55F80"/>
    <w:rsid w:val="00E83FA5"/>
    <w:rsid w:val="00E856AB"/>
    <w:rsid w:val="00EC18E7"/>
    <w:rsid w:val="00EC28DF"/>
    <w:rsid w:val="00ED133B"/>
    <w:rsid w:val="00EE231A"/>
    <w:rsid w:val="00EE3459"/>
    <w:rsid w:val="00F01789"/>
    <w:rsid w:val="00F023BB"/>
    <w:rsid w:val="00F53BEC"/>
    <w:rsid w:val="00F647E5"/>
    <w:rsid w:val="00F67875"/>
    <w:rsid w:val="00F7291C"/>
    <w:rsid w:val="00F75B3E"/>
    <w:rsid w:val="00F75BD7"/>
    <w:rsid w:val="00F766FF"/>
    <w:rsid w:val="00F96D3E"/>
    <w:rsid w:val="00FA0CDF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F1F40CAF-2794-4108-A550-D5F5873F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numbering" w:customStyle="1" w:styleId="10">
    <w:name w:val="Нет списка1"/>
    <w:next w:val="NoList"/>
    <w:uiPriority w:val="99"/>
    <w:semiHidden/>
    <w:unhideWhenUsed/>
    <w:rsid w:val="005C67F5"/>
  </w:style>
  <w:style w:type="table" w:customStyle="1" w:styleId="11">
    <w:name w:val="Сетка таблицы1"/>
    <w:basedOn w:val="TableNormal"/>
    <w:next w:val="TableGrid"/>
    <w:uiPriority w:val="59"/>
    <w:rsid w:val="005C67F5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67F5"/>
    <w:rPr>
      <w:sz w:val="16"/>
      <w:szCs w:val="16"/>
    </w:rPr>
  </w:style>
  <w:style w:type="paragraph" w:customStyle="1" w:styleId="12">
    <w:name w:val="Текст примечания1"/>
    <w:basedOn w:val="Normal"/>
    <w:next w:val="CommentText"/>
    <w:link w:val="a"/>
    <w:uiPriority w:val="99"/>
    <w:semiHidden/>
    <w:unhideWhenUsed/>
    <w:rsid w:val="005C67F5"/>
    <w:pPr>
      <w:spacing w:after="200"/>
    </w:pPr>
  </w:style>
  <w:style w:type="character" w:customStyle="1" w:styleId="a">
    <w:name w:val="Текст примечания Знак"/>
    <w:basedOn w:val="DefaultParagraphFont"/>
    <w:link w:val="12"/>
    <w:uiPriority w:val="99"/>
    <w:semiHidden/>
    <w:rsid w:val="005C67F5"/>
    <w:rPr>
      <w:sz w:val="20"/>
      <w:szCs w:val="20"/>
    </w:rPr>
  </w:style>
  <w:style w:type="paragraph" w:customStyle="1" w:styleId="13">
    <w:name w:val="Тема примечания1"/>
    <w:basedOn w:val="CommentText"/>
    <w:next w:val="CommentText"/>
    <w:uiPriority w:val="99"/>
    <w:semiHidden/>
    <w:unhideWhenUsed/>
    <w:rsid w:val="005C67F5"/>
    <w:pPr>
      <w:spacing w:after="200"/>
    </w:pPr>
    <w:rPr>
      <w:rFonts w:ascii="Calibri" w:eastAsia="Calibri" w:hAnsi="Calibri"/>
      <w:b/>
      <w:bCs/>
      <w:lang w:val="ru-RU"/>
    </w:rPr>
  </w:style>
  <w:style w:type="character" w:customStyle="1" w:styleId="CommentSubjectChar">
    <w:name w:val="Comment Subject Char"/>
    <w:basedOn w:val="a"/>
    <w:link w:val="CommentSubject"/>
    <w:uiPriority w:val="99"/>
    <w:semiHidden/>
    <w:rsid w:val="005C67F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F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5C67F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5C67F5"/>
    <w:rPr>
      <w:rFonts w:ascii="Microsoft Sans Serif" w:hAnsi="Microsoft Sans Serif" w:cs="Microsoft Sans Seri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C67F5"/>
    <w:pPr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C67F5"/>
    <w:rPr>
      <w:sz w:val="24"/>
      <w:szCs w:val="24"/>
      <w:lang w:eastAsia="ru-RU"/>
    </w:rPr>
  </w:style>
  <w:style w:type="table" w:styleId="TableGrid">
    <w:name w:val="Table Grid"/>
    <w:basedOn w:val="TableNormal"/>
    <w:rsid w:val="005C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5C67F5"/>
  </w:style>
  <w:style w:type="character" w:customStyle="1" w:styleId="CommentTextChar">
    <w:name w:val="Comment Text Char"/>
    <w:basedOn w:val="DefaultParagraphFont"/>
    <w:link w:val="CommentText"/>
    <w:semiHidden/>
    <w:rsid w:val="005C67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F5"/>
    <w:rPr>
      <w:b/>
      <w:bCs/>
    </w:rPr>
  </w:style>
  <w:style w:type="character" w:customStyle="1" w:styleId="14">
    <w:name w:val="Тема примечания Знак1"/>
    <w:basedOn w:val="CommentTextChar"/>
    <w:semiHidden/>
    <w:rsid w:val="005C67F5"/>
    <w:rPr>
      <w:b/>
      <w:bCs/>
    </w:rPr>
  </w:style>
  <w:style w:type="numbering" w:customStyle="1" w:styleId="2">
    <w:name w:val="Нет списка2"/>
    <w:next w:val="NoList"/>
    <w:uiPriority w:val="99"/>
    <w:semiHidden/>
    <w:unhideWhenUsed/>
    <w:rsid w:val="00C226FA"/>
  </w:style>
  <w:style w:type="character" w:customStyle="1" w:styleId="Heading1Char">
    <w:name w:val="Heading 1 Char"/>
    <w:basedOn w:val="DefaultParagraphFont"/>
    <w:link w:val="Heading1"/>
    <w:rsid w:val="00C226FA"/>
    <w:rPr>
      <w:sz w:val="32"/>
    </w:rPr>
  </w:style>
  <w:style w:type="paragraph" w:customStyle="1" w:styleId="81">
    <w:name w:val="Заголовок 81"/>
    <w:basedOn w:val="Normal"/>
    <w:next w:val="Normal"/>
    <w:semiHidden/>
    <w:unhideWhenUsed/>
    <w:qFormat/>
    <w:rsid w:val="00C226F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numbering" w:customStyle="1" w:styleId="110">
    <w:name w:val="Нет списка11"/>
    <w:next w:val="NoList"/>
    <w:uiPriority w:val="99"/>
    <w:semiHidden/>
    <w:unhideWhenUsed/>
    <w:rsid w:val="00C226FA"/>
  </w:style>
  <w:style w:type="character" w:customStyle="1" w:styleId="DocumentMapChar">
    <w:name w:val="Document Map Char"/>
    <w:basedOn w:val="DefaultParagraphFont"/>
    <w:link w:val="DocumentMap"/>
    <w:semiHidden/>
    <w:rsid w:val="00C226FA"/>
    <w:rPr>
      <w:rFonts w:ascii="Tahoma" w:hAnsi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rsid w:val="00C226FA"/>
  </w:style>
  <w:style w:type="character" w:customStyle="1" w:styleId="BodyTextIndentChar">
    <w:name w:val="Body Text Indent Char"/>
    <w:basedOn w:val="DefaultParagraphFont"/>
    <w:link w:val="BodyTextIndent"/>
    <w:rsid w:val="00C226FA"/>
    <w:rPr>
      <w:snapToGrid w:val="0"/>
      <w:sz w:val="24"/>
    </w:rPr>
  </w:style>
  <w:style w:type="numbering" w:customStyle="1" w:styleId="111">
    <w:name w:val="Нет списка111"/>
    <w:next w:val="NoList"/>
    <w:uiPriority w:val="99"/>
    <w:semiHidden/>
    <w:unhideWhenUsed/>
    <w:rsid w:val="00C226FA"/>
  </w:style>
  <w:style w:type="table" w:customStyle="1" w:styleId="112">
    <w:name w:val="Сетка таблицы11"/>
    <w:basedOn w:val="TableNormal"/>
    <w:next w:val="TableGrid"/>
    <w:uiPriority w:val="59"/>
    <w:rsid w:val="00C226FA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TableNormal"/>
    <w:next w:val="TableGrid"/>
    <w:rsid w:val="00C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DefaultParagraphFont"/>
    <w:uiPriority w:val="9"/>
    <w:semiHidden/>
    <w:rsid w:val="00C226FA"/>
    <w:rPr>
      <w:rFonts w:ascii="Cambria" w:eastAsia="Times New Roman" w:hAnsi="Cambria" w:cs="Times New Roman"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 xsi:nil="true"/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COUNTRYRBEC-781-113</_dlc_DocId>
    <_dlc_DocIdUrl xmlns="2c6c70a2-c5e4-481b-a272-21e4970279b4">
      <Url>https://intranet.undp.org/country/rbec/md/intra/operations/_layouts/DocIdRedir.aspx?ID=COUNTRYRBEC-781-113</Url>
      <Description>COUNTRYRBEC-781-113</Description>
    </_dlc_DocIdUrl>
  </documentManagement>
</p:properti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8D20-A215-4F73-8E47-78B6654D3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23B85-D1E8-4E0E-8AF2-9B26AF54F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0E59C-7341-460C-8C90-0065BC8CD7FD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4.xml><?xml version="1.0" encoding="utf-8"?>
<ds:datastoreItem xmlns:ds="http://schemas.openxmlformats.org/officeDocument/2006/customXml" ds:itemID="{34E24455-3583-4124-8446-58565221F0A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BF0FBDD-8868-41D0-890C-219E34C6BE1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929D41C-3579-4F5A-BFB6-CDF9C779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b. Request for Quotation (RfQ)-template</vt:lpstr>
      <vt:lpstr>b. Request for Quotation (RfQ)-template</vt:lpstr>
    </vt:vector>
  </TitlesOfParts>
  <Company>UNDP</Company>
  <LinksUpToDate>false</LinksUpToDate>
  <CharactersWithSpaces>2219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Request for Quotation (RfQ)-template</dc:title>
  <dc:subject/>
  <dc:creator>tsd</dc:creator>
  <cp:lastModifiedBy>Olga Driga</cp:lastModifiedBy>
  <cp:revision>3</cp:revision>
  <cp:lastPrinted>2019-02-05T12:45:00Z</cp:lastPrinted>
  <dcterms:created xsi:type="dcterms:W3CDTF">2019-03-15T15:17:00Z</dcterms:created>
  <dcterms:modified xsi:type="dcterms:W3CDTF">2019-03-15T15:17:00Z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adea138c-99d9-4090-88b8-9ba0ac0292f0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