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7"/>
        <w:gridCol w:w="222"/>
        <w:gridCol w:w="222"/>
      </w:tblGrid>
      <w:tr w:rsidR="00B135AE" w:rsidRPr="007360C5" w:rsidTr="00856207">
        <w:trPr>
          <w:jc w:val="center"/>
        </w:trPr>
        <w:tc>
          <w:tcPr>
            <w:tcW w:w="10437" w:type="dxa"/>
            <w:vAlign w:val="center"/>
          </w:tcPr>
          <w:tbl>
            <w:tblPr>
              <w:tblW w:w="10221" w:type="dxa"/>
              <w:jc w:val="center"/>
              <w:tblLook w:val="04A0" w:firstRow="1" w:lastRow="0" w:firstColumn="1" w:lastColumn="0" w:noHBand="0" w:noVBand="1"/>
            </w:tblPr>
            <w:tblGrid>
              <w:gridCol w:w="3030"/>
              <w:gridCol w:w="2976"/>
              <w:gridCol w:w="1751"/>
              <w:gridCol w:w="2464"/>
            </w:tblGrid>
            <w:tr w:rsidR="00B135AE" w:rsidRPr="007360C5" w:rsidTr="007C48FF">
              <w:trPr>
                <w:trHeight w:val="1560"/>
                <w:jc w:val="center"/>
              </w:trPr>
              <w:tc>
                <w:tcPr>
                  <w:tcW w:w="3449" w:type="dxa"/>
                  <w:shd w:val="clear" w:color="auto" w:fill="auto"/>
                </w:tcPr>
                <w:p w:rsidR="00B135AE" w:rsidRPr="007360C5" w:rsidRDefault="00B135AE" w:rsidP="00856207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ro-MD"/>
                    </w:rPr>
                  </w:pPr>
                  <w:bookmarkStart w:id="0" w:name="_Toc2329538"/>
                  <w:r w:rsidRPr="007360C5">
                    <w:rPr>
                      <w:noProof/>
                      <w:lang w:val="ba-RU" w:eastAsia="zh-CN"/>
                    </w:rPr>
                    <w:drawing>
                      <wp:inline distT="0" distB="0" distL="0" distR="0">
                        <wp:extent cx="609103" cy="705204"/>
                        <wp:effectExtent l="19050" t="0" r="497" b="0"/>
                        <wp:docPr id="2" name="Picture 1" descr="Emblema Guvernului Republicii Moldo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 Guvernului Republicii Moldo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797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:rsidR="00B135AE" w:rsidRPr="007360C5" w:rsidRDefault="00B135AE" w:rsidP="00856207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ro-MD"/>
                    </w:rPr>
                  </w:pPr>
                  <w:r w:rsidRPr="007360C5">
                    <w:rPr>
                      <w:b/>
                      <w:noProof/>
                      <w:sz w:val="28"/>
                      <w:szCs w:val="28"/>
                      <w:lang w:val="ba-RU" w:eastAsia="zh-CN"/>
                    </w:rPr>
                    <w:drawing>
                      <wp:inline distT="0" distB="0" distL="0" distR="0">
                        <wp:extent cx="1724025" cy="775811"/>
                        <wp:effectExtent l="19050" t="0" r="9525" b="0"/>
                        <wp:docPr id="3" name="Picture 34" descr="C:\Users\Tatiana\AppData\Local\Temp\Rar$DRa56772.10728\SDC-Rom-Ru\SDC-Rom-Ru_RGB_hoch_p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atiana\AppData\Local\Temp\Rar$DRa56772.10728\SDC-Rom-Ru\SDC-Rom-Ru_RGB_hoch_p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6576" cy="794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:rsidR="00B135AE" w:rsidRPr="007360C5" w:rsidRDefault="00B135AE" w:rsidP="00856207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ro-MD"/>
                    </w:rPr>
                  </w:pPr>
                  <w:r w:rsidRPr="007360C5">
                    <w:rPr>
                      <w:noProof/>
                      <w:lang w:val="ba-RU" w:eastAsia="zh-CN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521970</wp:posOffset>
                        </wp:positionH>
                        <wp:positionV relativeFrom="paragraph">
                          <wp:posOffset>99695</wp:posOffset>
                        </wp:positionV>
                        <wp:extent cx="331470" cy="704850"/>
                        <wp:effectExtent l="19050" t="0" r="0" b="0"/>
                        <wp:wrapTight wrapText="bothSides">
                          <wp:wrapPolygon edited="0">
                            <wp:start x="-1241" y="0"/>
                            <wp:lineTo x="-1241" y="21016"/>
                            <wp:lineTo x="21103" y="21016"/>
                            <wp:lineTo x="21103" y="18681"/>
                            <wp:lineTo x="19862" y="0"/>
                            <wp:lineTo x="-1241" y="0"/>
                          </wp:wrapPolygon>
                        </wp:wrapTight>
                        <wp:docPr id="4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743" w:type="dxa"/>
                </w:tcPr>
                <w:p w:rsidR="00B135AE" w:rsidRPr="007360C5" w:rsidRDefault="00B135AE" w:rsidP="00856207">
                  <w:pPr>
                    <w:spacing w:after="120"/>
                    <w:ind w:right="-465" w:firstLine="225"/>
                    <w:jc w:val="center"/>
                    <w:rPr>
                      <w:lang w:val="ro-MD" w:eastAsia="ro-RO"/>
                    </w:rPr>
                  </w:pPr>
                  <w:r w:rsidRPr="007360C5">
                    <w:rPr>
                      <w:noProof/>
                      <w:lang w:val="ba-RU" w:eastAsia="zh-CN"/>
                    </w:rPr>
                    <w:drawing>
                      <wp:inline distT="0" distB="0" distL="0" distR="0">
                        <wp:extent cx="933450" cy="650657"/>
                        <wp:effectExtent l="19050" t="0" r="0" b="0"/>
                        <wp:docPr id="5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311" cy="65265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35AE" w:rsidRPr="007360C5" w:rsidRDefault="00B135AE" w:rsidP="00856207">
            <w:pPr>
              <w:spacing w:after="120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222" w:type="dxa"/>
            <w:vAlign w:val="center"/>
          </w:tcPr>
          <w:p w:rsidR="00B135AE" w:rsidRPr="007360C5" w:rsidRDefault="00B135AE" w:rsidP="00856207">
            <w:pPr>
              <w:spacing w:after="120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222" w:type="dxa"/>
            <w:vAlign w:val="center"/>
          </w:tcPr>
          <w:p w:rsidR="00B135AE" w:rsidRPr="007360C5" w:rsidRDefault="00B135AE" w:rsidP="00856207">
            <w:pPr>
              <w:spacing w:after="120"/>
              <w:jc w:val="right"/>
              <w:rPr>
                <w:b/>
                <w:sz w:val="28"/>
                <w:szCs w:val="28"/>
                <w:lang w:val="ro-MD"/>
              </w:rPr>
            </w:pPr>
          </w:p>
        </w:tc>
      </w:tr>
    </w:tbl>
    <w:bookmarkEnd w:id="0"/>
    <w:p w:rsidR="00B135AE" w:rsidRPr="00703DC3" w:rsidRDefault="00B135AE" w:rsidP="007C48FF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32"/>
          <w:szCs w:val="32"/>
          <w:lang w:val="ro-MD"/>
        </w:rPr>
      </w:pPr>
      <w:r w:rsidRPr="00703DC3">
        <w:rPr>
          <w:rFonts w:ascii="Myriad Pro" w:hAnsi="Myriad Pro"/>
          <w:b/>
          <w:smallCaps/>
          <w:color w:val="0000FF"/>
          <w:spacing w:val="20"/>
          <w:sz w:val="32"/>
          <w:szCs w:val="32"/>
          <w:lang w:val="ro-MD"/>
        </w:rPr>
        <w:t>CONCURS</w:t>
      </w:r>
    </w:p>
    <w:p w:rsidR="00B135AE" w:rsidRPr="00703DC3" w:rsidRDefault="00B135AE" w:rsidP="00B135AE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32"/>
          <w:szCs w:val="32"/>
          <w:lang w:val="ro-MD"/>
        </w:rPr>
      </w:pPr>
      <w:r w:rsidRPr="00703DC3">
        <w:rPr>
          <w:rFonts w:ascii="Myriad Pro" w:hAnsi="Myriad Pro"/>
          <w:b/>
          <w:smallCaps/>
          <w:color w:val="0000FF"/>
          <w:spacing w:val="20"/>
          <w:sz w:val="32"/>
          <w:szCs w:val="32"/>
          <w:lang w:val="ro-MD"/>
        </w:rPr>
        <w:t>de selectare a localităților – beneficiare ale proiectului PNUD ‘Migrație și Dezvoltare Locală’ 2019-2022</w:t>
      </w:r>
    </w:p>
    <w:p w:rsidR="00B135AE" w:rsidRPr="007360C5" w:rsidRDefault="00B135AE" w:rsidP="00B135AE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00" w:themeColor="text1"/>
          <w:spacing w:val="20"/>
          <w:sz w:val="28"/>
          <w:szCs w:val="28"/>
          <w:lang w:val="ro-MD"/>
        </w:rPr>
      </w:pPr>
    </w:p>
    <w:p w:rsidR="00EC5042" w:rsidRDefault="00EC5042" w:rsidP="00B135AE">
      <w:pPr>
        <w:spacing w:after="0" w:line="240" w:lineRule="auto"/>
        <w:jc w:val="both"/>
        <w:rPr>
          <w:sz w:val="20"/>
          <w:szCs w:val="20"/>
          <w:lang w:val="ro-MD"/>
        </w:rPr>
      </w:pPr>
      <w:r w:rsidRPr="00EC5042">
        <w:rPr>
          <w:sz w:val="20"/>
          <w:szCs w:val="20"/>
          <w:lang w:val="ro-MD"/>
        </w:rPr>
        <w:t xml:space="preserve">Proiectul </w:t>
      </w:r>
      <w:r>
        <w:rPr>
          <w:sz w:val="20"/>
          <w:szCs w:val="20"/>
          <w:lang w:val="ro-MD"/>
        </w:rPr>
        <w:t xml:space="preserve">PNUD ”Migrație și Dezvoltare Locală – Faza 2” anunță concursul de selectare a localităților beneficiare pentru perioada 2019-2022. </w:t>
      </w:r>
    </w:p>
    <w:p w:rsidR="00EC5042" w:rsidRDefault="00EC5042" w:rsidP="00B135AE">
      <w:pPr>
        <w:spacing w:after="0" w:line="240" w:lineRule="auto"/>
        <w:jc w:val="both"/>
        <w:rPr>
          <w:sz w:val="20"/>
          <w:szCs w:val="20"/>
          <w:lang w:val="ro-MD"/>
        </w:rPr>
      </w:pPr>
    </w:p>
    <w:p w:rsidR="00EC5042" w:rsidRPr="00EC5042" w:rsidRDefault="00EC5042" w:rsidP="00B135AE">
      <w:pPr>
        <w:spacing w:after="0" w:line="240" w:lineRule="auto"/>
        <w:jc w:val="both"/>
        <w:rPr>
          <w:sz w:val="20"/>
          <w:szCs w:val="20"/>
          <w:lang w:val="ro-MD"/>
        </w:rPr>
      </w:pPr>
      <w:r w:rsidRPr="007360C5">
        <w:rPr>
          <w:sz w:val="20"/>
          <w:szCs w:val="20"/>
          <w:lang w:val="ro-MD"/>
        </w:rPr>
        <w:t xml:space="preserve">Obiectivul Proiectului </w:t>
      </w:r>
      <w:proofErr w:type="spellStart"/>
      <w:r w:rsidRPr="007360C5">
        <w:rPr>
          <w:sz w:val="20"/>
          <w:szCs w:val="20"/>
          <w:lang w:val="ro-MD"/>
        </w:rPr>
        <w:t>MiDL</w:t>
      </w:r>
      <w:proofErr w:type="spellEnd"/>
      <w:r w:rsidRPr="007360C5">
        <w:rPr>
          <w:sz w:val="20"/>
          <w:szCs w:val="20"/>
          <w:lang w:val="ro-MD"/>
        </w:rPr>
        <w:t xml:space="preserve"> este de a </w:t>
      </w:r>
      <w:r w:rsidRPr="007360C5">
        <w:rPr>
          <w:rFonts w:cs="Arial"/>
          <w:sz w:val="20"/>
          <w:szCs w:val="20"/>
          <w:lang w:val="ro-MD"/>
        </w:rPr>
        <w:t xml:space="preserve">sprijini dezvoltarea comunităților din Republica Moldova afectate de migrație, prin stimularea </w:t>
      </w:r>
      <w:r>
        <w:rPr>
          <w:rFonts w:cs="Arial"/>
          <w:sz w:val="20"/>
          <w:szCs w:val="20"/>
          <w:lang w:val="ro-MD"/>
        </w:rPr>
        <w:t>dezvoltării economice locale</w:t>
      </w:r>
      <w:r w:rsidRPr="007360C5">
        <w:rPr>
          <w:rFonts w:cs="Arial"/>
          <w:sz w:val="20"/>
          <w:szCs w:val="20"/>
          <w:lang w:val="ro-MD"/>
        </w:rPr>
        <w:t>, inclusiv prin încurajarea implicării a Diasporei în procesul de revitalizare a localităților de baștină.</w:t>
      </w:r>
    </w:p>
    <w:p w:rsidR="00EC5042" w:rsidRDefault="00EC5042" w:rsidP="00B135AE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</w:p>
    <w:p w:rsidR="00B135AE" w:rsidRPr="00450384" w:rsidRDefault="00B135AE" w:rsidP="00B135AE">
      <w:pPr>
        <w:spacing w:after="0" w:line="240" w:lineRule="auto"/>
        <w:jc w:val="both"/>
        <w:rPr>
          <w:rFonts w:cs="Arial"/>
          <w:sz w:val="20"/>
          <w:szCs w:val="20"/>
          <w:lang w:val="ro-MD"/>
        </w:rPr>
      </w:pPr>
      <w:r>
        <w:rPr>
          <w:rFonts w:cs="Arial"/>
          <w:sz w:val="20"/>
          <w:szCs w:val="20"/>
          <w:lang w:val="ro-MD"/>
        </w:rPr>
        <w:t xml:space="preserve">La prima etapă, proiectul își propune să pre-selecteze 35 de localități pentru a le acorda sprijin în construirea unor </w:t>
      </w:r>
      <w:r w:rsidRPr="00450384">
        <w:rPr>
          <w:rFonts w:cs="Arial"/>
          <w:sz w:val="20"/>
          <w:szCs w:val="20"/>
          <w:lang w:val="ro-MD"/>
        </w:rPr>
        <w:t xml:space="preserve">parteneriate funcționale cu mediul de afaceri și comunitatea </w:t>
      </w:r>
      <w:proofErr w:type="spellStart"/>
      <w:r w:rsidRPr="00450384">
        <w:rPr>
          <w:rFonts w:cs="Arial"/>
          <w:sz w:val="20"/>
          <w:szCs w:val="20"/>
          <w:lang w:val="ro-MD"/>
        </w:rPr>
        <w:t>migranților</w:t>
      </w:r>
      <w:proofErr w:type="spellEnd"/>
      <w:r w:rsidRPr="00450384">
        <w:rPr>
          <w:rFonts w:cs="Arial"/>
          <w:sz w:val="20"/>
          <w:szCs w:val="20"/>
          <w:lang w:val="ro-MD"/>
        </w:rPr>
        <w:t xml:space="preserve">, în vederea identificării și promovării unor soluții inovative de dezvoltare economică locală. Ulterior, în baza unui concurs adițional, vor fi selectate 25 de localități (din cele 35 pre-selectate) în vederea acordării unor finanțări nerambursabile (granturi) de până la 60,000 USD pentru implementarea soluțiilor identificate de dezvoltare economică locală. </w:t>
      </w:r>
    </w:p>
    <w:p w:rsidR="00B135AE" w:rsidRPr="00450384" w:rsidRDefault="00B135AE" w:rsidP="00B135AE">
      <w:pPr>
        <w:spacing w:after="0" w:line="240" w:lineRule="auto"/>
        <w:jc w:val="both"/>
        <w:rPr>
          <w:rFonts w:cs="Arial"/>
          <w:sz w:val="20"/>
          <w:szCs w:val="20"/>
          <w:lang w:val="ro-MD"/>
        </w:rPr>
      </w:pPr>
    </w:p>
    <w:p w:rsidR="00B135AE" w:rsidRDefault="00B135AE" w:rsidP="00B135AE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  <w:r>
        <w:rPr>
          <w:b/>
          <w:sz w:val="20"/>
          <w:szCs w:val="20"/>
          <w:u w:val="single"/>
          <w:lang w:val="ro-MD"/>
        </w:rPr>
        <w:t xml:space="preserve">Termenul limită de aplicare: </w:t>
      </w:r>
    </w:p>
    <w:p w:rsidR="00B135AE" w:rsidRDefault="00B135AE" w:rsidP="00B135AE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</w:p>
    <w:p w:rsidR="00B135AE" w:rsidRPr="002B787F" w:rsidRDefault="00B135AE" w:rsidP="00B135AE">
      <w:pPr>
        <w:spacing w:after="0" w:line="240" w:lineRule="auto"/>
        <w:jc w:val="both"/>
        <w:rPr>
          <w:rFonts w:cs="Arial"/>
          <w:sz w:val="20"/>
          <w:szCs w:val="20"/>
          <w:lang w:val="ro-MD"/>
        </w:rPr>
      </w:pPr>
      <w:r w:rsidRPr="002B787F">
        <w:rPr>
          <w:rFonts w:cs="Arial"/>
          <w:sz w:val="20"/>
          <w:szCs w:val="20"/>
          <w:lang w:val="ro-MD"/>
        </w:rPr>
        <w:t xml:space="preserve">Aplicațiile se vor depune până </w:t>
      </w:r>
      <w:bookmarkStart w:id="1" w:name="_GoBack"/>
      <w:bookmarkEnd w:id="1"/>
      <w:r w:rsidRPr="00D9279C">
        <w:rPr>
          <w:rFonts w:cs="Arial"/>
          <w:sz w:val="20"/>
          <w:szCs w:val="20"/>
          <w:lang w:val="ro-MD"/>
        </w:rPr>
        <w:t>la 25 aprilie 2019, ora 17:00</w:t>
      </w:r>
    </w:p>
    <w:p w:rsidR="00B135AE" w:rsidRPr="00450384" w:rsidRDefault="00B135AE" w:rsidP="00B135AE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</w:p>
    <w:p w:rsidR="00B135AE" w:rsidRPr="00450384" w:rsidRDefault="00B135AE" w:rsidP="00B135AE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  <w:r w:rsidRPr="00450384">
        <w:rPr>
          <w:b/>
          <w:sz w:val="20"/>
          <w:szCs w:val="20"/>
          <w:u w:val="single"/>
          <w:lang w:val="ro-MD"/>
        </w:rPr>
        <w:t xml:space="preserve">Criterii de eligibilitate: </w:t>
      </w:r>
    </w:p>
    <w:p w:rsidR="00B135AE" w:rsidRPr="00C33371" w:rsidRDefault="00B135AE" w:rsidP="00B135AE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</w:p>
    <w:p w:rsidR="00B135AE" w:rsidRPr="00450384" w:rsidRDefault="00B135AE" w:rsidP="00B135AE">
      <w:pPr>
        <w:spacing w:after="0" w:line="240" w:lineRule="auto"/>
        <w:rPr>
          <w:rFonts w:cs="Arial"/>
          <w:sz w:val="20"/>
          <w:szCs w:val="20"/>
          <w:lang w:val="ro-RO"/>
        </w:rPr>
      </w:pPr>
      <w:r w:rsidRPr="00450384">
        <w:rPr>
          <w:rFonts w:cs="Arial"/>
          <w:sz w:val="20"/>
          <w:szCs w:val="20"/>
          <w:lang w:val="ro-RO"/>
        </w:rPr>
        <w:t xml:space="preserve">Următoarele criterii minime urmează a fi întrunite pentru ca </w:t>
      </w:r>
      <w:proofErr w:type="spellStart"/>
      <w:r w:rsidRPr="00450384">
        <w:rPr>
          <w:rFonts w:cs="Arial"/>
          <w:sz w:val="20"/>
          <w:szCs w:val="20"/>
          <w:lang w:val="ro-RO"/>
        </w:rPr>
        <w:t>aplicantul</w:t>
      </w:r>
      <w:proofErr w:type="spellEnd"/>
      <w:r w:rsidRPr="00450384">
        <w:rPr>
          <w:rFonts w:cs="Arial"/>
          <w:sz w:val="20"/>
          <w:szCs w:val="20"/>
          <w:lang w:val="ro-RO"/>
        </w:rPr>
        <w:t xml:space="preserve"> să fie considerat eligibil pentru evaluare: </w:t>
      </w:r>
    </w:p>
    <w:p w:rsidR="00B135AE" w:rsidRPr="00F828C8" w:rsidRDefault="00B135AE" w:rsidP="007C48FF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Arial"/>
          <w:sz w:val="20"/>
          <w:szCs w:val="20"/>
          <w:lang w:val="ro-MD"/>
        </w:rPr>
      </w:pPr>
      <w:r w:rsidRPr="00F828C8">
        <w:rPr>
          <w:rFonts w:ascii="Calibri" w:hAnsi="Calibri" w:cs="Arial"/>
          <w:sz w:val="20"/>
          <w:szCs w:val="20"/>
          <w:lang w:val="ro-MD"/>
        </w:rPr>
        <w:t xml:space="preserve">APL de nivelul întâi din Republica Moldova. </w:t>
      </w:r>
    </w:p>
    <w:p w:rsidR="00B135AE" w:rsidRPr="00F828C8" w:rsidRDefault="00B135AE" w:rsidP="007C48FF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Arial"/>
          <w:sz w:val="20"/>
          <w:szCs w:val="20"/>
          <w:lang w:val="ro-MD"/>
        </w:rPr>
      </w:pPr>
      <w:r w:rsidRPr="00F828C8">
        <w:rPr>
          <w:rFonts w:ascii="Calibri" w:hAnsi="Calibri" w:cs="Arial"/>
          <w:sz w:val="20"/>
          <w:szCs w:val="20"/>
          <w:lang w:val="ro-MD"/>
        </w:rPr>
        <w:t>Numărul populației</w:t>
      </w:r>
      <w:r>
        <w:rPr>
          <w:rStyle w:val="FootnoteReference"/>
          <w:rFonts w:ascii="Calibri" w:hAnsi="Calibri" w:cs="Arial"/>
          <w:sz w:val="20"/>
          <w:szCs w:val="20"/>
          <w:lang w:val="ro-MD"/>
        </w:rPr>
        <w:footnoteReference w:id="1"/>
      </w:r>
      <w:r w:rsidRPr="00F828C8">
        <w:rPr>
          <w:rFonts w:ascii="Calibri" w:hAnsi="Calibri" w:cs="Arial"/>
          <w:sz w:val="20"/>
          <w:szCs w:val="20"/>
          <w:lang w:val="ro-MD"/>
        </w:rPr>
        <w:t>: minim 4,000 locuitori (la data de 01.01.201</w:t>
      </w:r>
      <w:r>
        <w:rPr>
          <w:rFonts w:ascii="Calibri" w:hAnsi="Calibri" w:cs="Arial"/>
          <w:sz w:val="20"/>
          <w:szCs w:val="20"/>
          <w:lang w:val="ro-MD"/>
        </w:rPr>
        <w:t>9, conform datelor oficiale operate de administrația publică locală</w:t>
      </w:r>
      <w:r w:rsidRPr="00F828C8">
        <w:rPr>
          <w:rFonts w:ascii="Calibri" w:hAnsi="Calibri" w:cs="Arial"/>
          <w:sz w:val="20"/>
          <w:szCs w:val="20"/>
          <w:lang w:val="ro-MD"/>
        </w:rPr>
        <w:t xml:space="preserve">). </w:t>
      </w:r>
    </w:p>
    <w:p w:rsidR="00B135AE" w:rsidRPr="00F828C8" w:rsidRDefault="00B135AE" w:rsidP="007C48FF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Arial"/>
          <w:sz w:val="20"/>
          <w:szCs w:val="20"/>
          <w:lang w:val="ro-MD"/>
        </w:rPr>
      </w:pPr>
      <w:r w:rsidRPr="00F828C8">
        <w:rPr>
          <w:rFonts w:ascii="Calibri" w:hAnsi="Calibri" w:cs="Arial"/>
          <w:sz w:val="20"/>
          <w:szCs w:val="20"/>
          <w:lang w:val="ro-MD"/>
        </w:rPr>
        <w:t xml:space="preserve">Formular completat și depus până la termenul limită, în corespundere cu cerințele înaintate. </w:t>
      </w:r>
    </w:p>
    <w:p w:rsidR="00B135AE" w:rsidRDefault="00146FC6" w:rsidP="007C48FF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Arial"/>
          <w:sz w:val="20"/>
          <w:szCs w:val="20"/>
          <w:lang w:val="ro-MD"/>
        </w:rPr>
      </w:pPr>
      <w:r>
        <w:rPr>
          <w:rFonts w:ascii="Calibri" w:hAnsi="Calibri" w:cs="Arial"/>
          <w:sz w:val="20"/>
          <w:szCs w:val="20"/>
          <w:lang w:val="ro-MD"/>
        </w:rPr>
        <w:t>Capacitatea și a</w:t>
      </w:r>
      <w:r w:rsidR="00B135AE" w:rsidRPr="00F828C8">
        <w:rPr>
          <w:rFonts w:ascii="Calibri" w:hAnsi="Calibri" w:cs="Arial"/>
          <w:sz w:val="20"/>
          <w:szCs w:val="20"/>
          <w:lang w:val="ro-MD"/>
        </w:rPr>
        <w:t xml:space="preserve">ngajamentul APL de a </w:t>
      </w:r>
      <w:proofErr w:type="spellStart"/>
      <w:r w:rsidR="00B135AE" w:rsidRPr="00F828C8">
        <w:rPr>
          <w:rFonts w:ascii="Calibri" w:hAnsi="Calibri" w:cs="Arial"/>
          <w:sz w:val="20"/>
          <w:szCs w:val="20"/>
          <w:lang w:val="ro-MD"/>
        </w:rPr>
        <w:t>co</w:t>
      </w:r>
      <w:proofErr w:type="spellEnd"/>
      <w:r w:rsidR="00B135AE" w:rsidRPr="00F828C8">
        <w:rPr>
          <w:rFonts w:ascii="Calibri" w:hAnsi="Calibri" w:cs="Arial"/>
          <w:sz w:val="20"/>
          <w:szCs w:val="20"/>
          <w:lang w:val="ro-MD"/>
        </w:rPr>
        <w:t xml:space="preserve">-finanța </w:t>
      </w:r>
      <w:r w:rsidR="00B135AE">
        <w:rPr>
          <w:rFonts w:ascii="Calibri" w:hAnsi="Calibri" w:cs="Arial"/>
          <w:sz w:val="20"/>
          <w:szCs w:val="20"/>
          <w:lang w:val="ro-MD"/>
        </w:rPr>
        <w:t xml:space="preserve">(împreună cu partenerii locali) </w:t>
      </w:r>
      <w:r w:rsidR="00B135AE" w:rsidRPr="00F828C8">
        <w:rPr>
          <w:rFonts w:ascii="Calibri" w:hAnsi="Calibri" w:cs="Arial"/>
          <w:sz w:val="20"/>
          <w:szCs w:val="20"/>
          <w:lang w:val="ro-MD"/>
        </w:rPr>
        <w:t xml:space="preserve">inițiativele identificate de comun acord </w:t>
      </w:r>
      <w:r w:rsidR="00B135AE">
        <w:rPr>
          <w:rFonts w:ascii="Calibri" w:hAnsi="Calibri" w:cs="Arial"/>
          <w:sz w:val="20"/>
          <w:szCs w:val="20"/>
          <w:lang w:val="ro-MD"/>
        </w:rPr>
        <w:t>în proporție de minim 50%, în cazul în care vor fi selectate(estimativ – până la 60,000 dolari americani)</w:t>
      </w:r>
      <w:r w:rsidR="00B135AE" w:rsidRPr="00F828C8">
        <w:rPr>
          <w:rFonts w:ascii="Calibri" w:hAnsi="Calibri" w:cs="Arial"/>
          <w:sz w:val="20"/>
          <w:szCs w:val="20"/>
          <w:lang w:val="ro-MD"/>
        </w:rPr>
        <w:t xml:space="preserve">. </w:t>
      </w:r>
    </w:p>
    <w:p w:rsidR="00B135AE" w:rsidRPr="00C33371" w:rsidRDefault="00B135AE" w:rsidP="007C48FF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Arial"/>
          <w:sz w:val="20"/>
          <w:szCs w:val="20"/>
          <w:lang w:val="ro-MD"/>
        </w:rPr>
      </w:pPr>
      <w:r w:rsidRPr="00C33371">
        <w:rPr>
          <w:rFonts w:ascii="Calibri" w:hAnsi="Calibri" w:cs="Arial"/>
          <w:sz w:val="20"/>
          <w:szCs w:val="20"/>
          <w:lang w:val="ro-MD"/>
        </w:rPr>
        <w:t xml:space="preserve">Existența unei majorități funcționale în cadrul Consiliului Local și </w:t>
      </w:r>
      <w:r>
        <w:rPr>
          <w:rFonts w:ascii="Calibri" w:hAnsi="Calibri" w:cs="Arial"/>
          <w:sz w:val="20"/>
          <w:szCs w:val="20"/>
          <w:lang w:val="ro-MD"/>
        </w:rPr>
        <w:t xml:space="preserve">existența unui format </w:t>
      </w:r>
      <w:r w:rsidRPr="00C33371">
        <w:rPr>
          <w:rFonts w:ascii="Calibri" w:hAnsi="Calibri" w:cs="Arial"/>
          <w:sz w:val="20"/>
          <w:szCs w:val="20"/>
          <w:lang w:val="ro-MD"/>
        </w:rPr>
        <w:t xml:space="preserve">de cooperare eficientă dintre Consiliul Local și Primar. </w:t>
      </w:r>
    </w:p>
    <w:p w:rsidR="00B135AE" w:rsidRPr="00C33371" w:rsidRDefault="00B135AE" w:rsidP="00B135AE">
      <w:pPr>
        <w:spacing w:after="0" w:line="240" w:lineRule="auto"/>
        <w:rPr>
          <w:rFonts w:cs="Arial"/>
          <w:sz w:val="20"/>
          <w:szCs w:val="20"/>
          <w:lang w:val="ro-RO"/>
        </w:rPr>
      </w:pPr>
    </w:p>
    <w:p w:rsidR="00B135AE" w:rsidRDefault="00B135AE" w:rsidP="00B135AE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  <w:r>
        <w:rPr>
          <w:b/>
          <w:sz w:val="20"/>
          <w:szCs w:val="20"/>
          <w:u w:val="single"/>
          <w:lang w:val="ro-MD"/>
        </w:rPr>
        <w:t>Informații suplimentare</w:t>
      </w:r>
      <w:r w:rsidRPr="00C33371">
        <w:rPr>
          <w:b/>
          <w:sz w:val="20"/>
          <w:szCs w:val="20"/>
          <w:u w:val="single"/>
          <w:lang w:val="ro-MD"/>
        </w:rPr>
        <w:t xml:space="preserve">: </w:t>
      </w:r>
    </w:p>
    <w:p w:rsidR="00B135AE" w:rsidRPr="00C33371" w:rsidRDefault="00B135AE" w:rsidP="00B135AE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</w:p>
    <w:p w:rsidR="00B135AE" w:rsidRPr="00497A8D" w:rsidRDefault="00B135AE" w:rsidP="00B135AE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  <w:r w:rsidRPr="00497A8D">
        <w:rPr>
          <w:rFonts w:cs="Arial"/>
          <w:sz w:val="20"/>
          <w:szCs w:val="20"/>
          <w:lang w:val="ro-RO"/>
        </w:rPr>
        <w:t xml:space="preserve">Informații suplimentare pot fi obținute, contactând persoanele de </w:t>
      </w:r>
      <w:r>
        <w:rPr>
          <w:rFonts w:cs="Arial"/>
          <w:sz w:val="20"/>
          <w:szCs w:val="20"/>
          <w:lang w:val="ro-RO"/>
        </w:rPr>
        <w:t>referință</w:t>
      </w:r>
      <w:r w:rsidRPr="00497A8D">
        <w:rPr>
          <w:rFonts w:cs="Arial"/>
          <w:sz w:val="20"/>
          <w:szCs w:val="20"/>
          <w:lang w:val="ro-RO"/>
        </w:rPr>
        <w:t xml:space="preserve"> din cadrul proiectului</w:t>
      </w:r>
      <w:r>
        <w:rPr>
          <w:rFonts w:cs="Arial"/>
          <w:sz w:val="20"/>
          <w:szCs w:val="20"/>
          <w:lang w:val="ro-RO"/>
        </w:rPr>
        <w:t xml:space="preserve"> </w:t>
      </w:r>
      <w:proofErr w:type="spellStart"/>
      <w:r>
        <w:rPr>
          <w:rFonts w:cs="Arial"/>
          <w:sz w:val="20"/>
          <w:szCs w:val="20"/>
          <w:lang w:val="ro-RO"/>
        </w:rPr>
        <w:t>MiDL</w:t>
      </w:r>
      <w:proofErr w:type="spellEnd"/>
      <w:r w:rsidRPr="00497A8D">
        <w:rPr>
          <w:rFonts w:cs="Arial"/>
          <w:sz w:val="20"/>
          <w:szCs w:val="20"/>
          <w:lang w:val="ro-RO"/>
        </w:rPr>
        <w:t>:</w:t>
      </w:r>
    </w:p>
    <w:p w:rsidR="00846035" w:rsidRPr="00497A8D" w:rsidRDefault="00846035" w:rsidP="00846035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Arial"/>
          <w:sz w:val="20"/>
          <w:szCs w:val="20"/>
          <w:lang w:val="ro-MD"/>
        </w:rPr>
      </w:pPr>
      <w:r w:rsidRPr="00497A8D">
        <w:rPr>
          <w:rFonts w:ascii="Calibri" w:hAnsi="Calibri" w:cs="Arial"/>
          <w:sz w:val="20"/>
          <w:szCs w:val="20"/>
          <w:lang w:val="ro-MD"/>
        </w:rPr>
        <w:t xml:space="preserve">Ghenadie </w:t>
      </w:r>
      <w:proofErr w:type="spellStart"/>
      <w:r w:rsidRPr="00497A8D">
        <w:rPr>
          <w:rFonts w:ascii="Calibri" w:hAnsi="Calibri" w:cs="Arial"/>
          <w:sz w:val="20"/>
          <w:szCs w:val="20"/>
          <w:lang w:val="ro-MD"/>
        </w:rPr>
        <w:t>Ivașcenco</w:t>
      </w:r>
      <w:proofErr w:type="spellEnd"/>
      <w:r w:rsidRPr="00497A8D">
        <w:rPr>
          <w:rFonts w:ascii="Calibri" w:hAnsi="Calibri" w:cs="Arial"/>
          <w:sz w:val="20"/>
          <w:szCs w:val="20"/>
          <w:lang w:val="ro-MD"/>
        </w:rPr>
        <w:t xml:space="preserve">, </w:t>
      </w:r>
      <w:hyperlink r:id="rId11" w:history="1">
        <w:r w:rsidRPr="00497A8D">
          <w:rPr>
            <w:rFonts w:ascii="Calibri" w:hAnsi="Calibri"/>
            <w:sz w:val="20"/>
            <w:szCs w:val="20"/>
            <w:lang w:val="ro-MD"/>
          </w:rPr>
          <w:t>ghenadie.ivascenco@gmail.com</w:t>
        </w:r>
      </w:hyperlink>
      <w:r w:rsidRPr="00497A8D">
        <w:rPr>
          <w:rFonts w:ascii="Calibri" w:hAnsi="Calibri" w:cs="Arial"/>
          <w:sz w:val="20"/>
          <w:szCs w:val="20"/>
          <w:lang w:val="ro-MD"/>
        </w:rPr>
        <w:t xml:space="preserve">, 069835354 </w:t>
      </w:r>
    </w:p>
    <w:p w:rsidR="00B135AE" w:rsidRPr="00497A8D" w:rsidRDefault="00B135AE" w:rsidP="007C48FF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Arial"/>
          <w:sz w:val="20"/>
          <w:szCs w:val="20"/>
          <w:lang w:val="ro-MD"/>
        </w:rPr>
      </w:pPr>
      <w:r w:rsidRPr="00497A8D">
        <w:rPr>
          <w:rFonts w:ascii="Calibri" w:hAnsi="Calibri" w:cs="Arial"/>
          <w:sz w:val="20"/>
          <w:szCs w:val="20"/>
          <w:lang w:val="ro-MD"/>
        </w:rPr>
        <w:t xml:space="preserve">Oxana Maciuca, </w:t>
      </w:r>
      <w:hyperlink r:id="rId12" w:history="1">
        <w:r w:rsidRPr="00497A8D">
          <w:rPr>
            <w:rFonts w:ascii="Calibri" w:hAnsi="Calibri"/>
            <w:sz w:val="20"/>
            <w:szCs w:val="20"/>
            <w:lang w:val="ro-MD"/>
          </w:rPr>
          <w:t>oxana.maciuca@undp.org</w:t>
        </w:r>
      </w:hyperlink>
      <w:r w:rsidRPr="00497A8D">
        <w:rPr>
          <w:rFonts w:ascii="Calibri" w:hAnsi="Calibri" w:cs="Arial"/>
          <w:sz w:val="20"/>
          <w:szCs w:val="20"/>
          <w:lang w:val="ro-MD"/>
        </w:rPr>
        <w:t>, 069176586</w:t>
      </w:r>
    </w:p>
    <w:p w:rsidR="00492FC1" w:rsidRDefault="00492FC1" w:rsidP="00492FC1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</w:p>
    <w:p w:rsidR="00492FC1" w:rsidRPr="00492FC1" w:rsidRDefault="00492FC1" w:rsidP="00492FC1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  <w:r w:rsidRPr="00492FC1">
        <w:rPr>
          <w:b/>
          <w:sz w:val="20"/>
          <w:szCs w:val="20"/>
          <w:u w:val="single"/>
          <w:lang w:val="ro-MD"/>
        </w:rPr>
        <w:t xml:space="preserve">Evenimente Regionale de Informare: </w:t>
      </w:r>
    </w:p>
    <w:p w:rsidR="000A1B84" w:rsidRDefault="000A1B84" w:rsidP="00492FC1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584506" w:rsidRPr="00584506" w:rsidRDefault="00584506" w:rsidP="00584506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  <w:r w:rsidRPr="00584506">
        <w:rPr>
          <w:rFonts w:cs="Arial"/>
          <w:sz w:val="20"/>
          <w:szCs w:val="20"/>
          <w:lang w:val="ro-RO"/>
        </w:rPr>
        <w:t xml:space="preserve">Pentru clarificarea întrebărilor apărute, Proiectul </w:t>
      </w:r>
      <w:proofErr w:type="spellStart"/>
      <w:r w:rsidRPr="00584506">
        <w:rPr>
          <w:rFonts w:cs="Arial"/>
          <w:sz w:val="20"/>
          <w:szCs w:val="20"/>
          <w:lang w:val="ro-RO"/>
        </w:rPr>
        <w:t>MiDL</w:t>
      </w:r>
      <w:proofErr w:type="spellEnd"/>
      <w:r w:rsidRPr="00584506">
        <w:rPr>
          <w:rFonts w:cs="Arial"/>
          <w:sz w:val="20"/>
          <w:szCs w:val="20"/>
          <w:lang w:val="ro-RO"/>
        </w:rPr>
        <w:t xml:space="preserve"> va organiza 4 întruniri regionale de informare:</w:t>
      </w:r>
    </w:p>
    <w:p w:rsidR="00584506" w:rsidRPr="00584506" w:rsidRDefault="00584506" w:rsidP="00584506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Arial"/>
          <w:sz w:val="20"/>
          <w:szCs w:val="20"/>
          <w:lang w:val="ro-MD"/>
        </w:rPr>
      </w:pPr>
      <w:r w:rsidRPr="00584506">
        <w:rPr>
          <w:rFonts w:ascii="Calibri" w:hAnsi="Calibri" w:cs="Arial"/>
          <w:sz w:val="20"/>
          <w:szCs w:val="20"/>
          <w:lang w:val="ro-MD"/>
        </w:rPr>
        <w:t>Pentru Zona de Nord</w:t>
      </w:r>
    </w:p>
    <w:p w:rsidR="00584506" w:rsidRPr="00584506" w:rsidRDefault="00584506" w:rsidP="00584506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Arial"/>
          <w:sz w:val="20"/>
          <w:szCs w:val="20"/>
          <w:lang w:val="ro-MD"/>
        </w:rPr>
      </w:pPr>
      <w:r w:rsidRPr="00584506">
        <w:rPr>
          <w:rFonts w:ascii="Calibri" w:hAnsi="Calibri" w:cs="Arial"/>
          <w:sz w:val="20"/>
          <w:szCs w:val="20"/>
          <w:lang w:val="ro-MD"/>
        </w:rPr>
        <w:t xml:space="preserve">Pentru Zona de Centru </w:t>
      </w:r>
    </w:p>
    <w:p w:rsidR="00584506" w:rsidRPr="00584506" w:rsidRDefault="00584506" w:rsidP="00584506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Arial"/>
          <w:sz w:val="20"/>
          <w:szCs w:val="20"/>
          <w:lang w:val="ro-MD"/>
        </w:rPr>
      </w:pPr>
      <w:r w:rsidRPr="00584506">
        <w:rPr>
          <w:rFonts w:ascii="Calibri" w:hAnsi="Calibri" w:cs="Arial"/>
          <w:sz w:val="20"/>
          <w:szCs w:val="20"/>
          <w:lang w:val="ro-MD"/>
        </w:rPr>
        <w:t>Pentru Zona de Sud</w:t>
      </w:r>
    </w:p>
    <w:p w:rsidR="00584506" w:rsidRPr="00584506" w:rsidRDefault="00584506" w:rsidP="00584506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Arial"/>
          <w:sz w:val="20"/>
          <w:szCs w:val="20"/>
          <w:lang w:val="ro-MD"/>
        </w:rPr>
      </w:pPr>
      <w:r w:rsidRPr="00584506">
        <w:rPr>
          <w:rFonts w:ascii="Calibri" w:hAnsi="Calibri" w:cs="Arial"/>
          <w:sz w:val="20"/>
          <w:szCs w:val="20"/>
          <w:lang w:val="ro-MD"/>
        </w:rPr>
        <w:t>Pentru UTA Găgăuzia și raionul Taraclia</w:t>
      </w:r>
    </w:p>
    <w:p w:rsidR="00584506" w:rsidRDefault="00584506" w:rsidP="00584506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RO"/>
        </w:rPr>
      </w:pPr>
    </w:p>
    <w:p w:rsidR="00584506" w:rsidRPr="00584506" w:rsidRDefault="00584506" w:rsidP="00584506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  <w:r w:rsidRPr="00584506">
        <w:rPr>
          <w:rFonts w:cs="Arial"/>
          <w:sz w:val="20"/>
          <w:szCs w:val="20"/>
          <w:lang w:val="ro-RO"/>
        </w:rPr>
        <w:t xml:space="preserve">Locațiile, data și ora exacte seminarelor vor fi anunțată suplimentar prin intermediul CALM. </w:t>
      </w:r>
    </w:p>
    <w:sectPr w:rsidR="00584506" w:rsidRPr="00584506" w:rsidSect="00D40818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7EB" w:rsidRDefault="00E507EB" w:rsidP="00B135AE">
      <w:pPr>
        <w:spacing w:after="0" w:line="240" w:lineRule="auto"/>
      </w:pPr>
      <w:r>
        <w:separator/>
      </w:r>
    </w:p>
  </w:endnote>
  <w:endnote w:type="continuationSeparator" w:id="0">
    <w:p w:rsidR="00E507EB" w:rsidRDefault="00E507EB" w:rsidP="00B1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7EB" w:rsidRDefault="00E507EB" w:rsidP="00B135AE">
      <w:pPr>
        <w:spacing w:after="0" w:line="240" w:lineRule="auto"/>
      </w:pPr>
      <w:r>
        <w:separator/>
      </w:r>
    </w:p>
  </w:footnote>
  <w:footnote w:type="continuationSeparator" w:id="0">
    <w:p w:rsidR="00E507EB" w:rsidRDefault="00E507EB" w:rsidP="00B135AE">
      <w:pPr>
        <w:spacing w:after="0" w:line="240" w:lineRule="auto"/>
      </w:pPr>
      <w:r>
        <w:continuationSeparator/>
      </w:r>
    </w:p>
  </w:footnote>
  <w:footnote w:id="1">
    <w:p w:rsidR="00B135AE" w:rsidRDefault="00B135AE" w:rsidP="00622812">
      <w:pPr>
        <w:pStyle w:val="FootnoteText"/>
        <w:rPr>
          <w:rFonts w:cs="Arial"/>
          <w:sz w:val="18"/>
          <w:szCs w:val="18"/>
          <w:lang w:val="ro-MD"/>
        </w:rPr>
      </w:pPr>
      <w:r>
        <w:rPr>
          <w:rStyle w:val="FootnoteReference"/>
        </w:rPr>
        <w:footnoteRef/>
      </w:r>
      <w:r>
        <w:t xml:space="preserve"> </w:t>
      </w:r>
      <w:r w:rsidRPr="005D26C4">
        <w:rPr>
          <w:rFonts w:cs="Arial"/>
          <w:sz w:val="18"/>
          <w:szCs w:val="18"/>
          <w:lang w:val="ro-MD"/>
        </w:rPr>
        <w:t xml:space="preserve">Localitățile cu o populație mai mică de 4,000 locuitori vor putea fi considerate eligibile în condițiile în care vor aplica în parteneriat cu localitățile vecine, cu care anterior au creat o Asociație de Cooperare Intercomunitară, iar populația totală va fi de peste 4,000 locuitori. </w:t>
      </w:r>
    </w:p>
    <w:p w:rsidR="00B135AE" w:rsidRPr="005D26C4" w:rsidRDefault="00B135AE" w:rsidP="00B135AE">
      <w:pPr>
        <w:pStyle w:val="FootnoteText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6F370B2"/>
    <w:multiLevelType w:val="hybridMultilevel"/>
    <w:tmpl w:val="5E6E3A5A"/>
    <w:lvl w:ilvl="0" w:tplc="046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34A2"/>
    <w:multiLevelType w:val="hybridMultilevel"/>
    <w:tmpl w:val="7E587672"/>
    <w:lvl w:ilvl="0" w:tplc="3B7EBDE0">
      <w:start w:val="1"/>
      <w:numFmt w:val="bullet"/>
      <w:lvlText w:val=""/>
      <w:lvlJc w:val="left"/>
      <w:pPr>
        <w:ind w:left="761" w:hanging="360"/>
      </w:pPr>
      <w:rPr>
        <w:rFonts w:ascii="Wingdings 2" w:hAnsi="Wingdings 2" w:hint="default"/>
        <w:color w:val="00B050"/>
      </w:rPr>
    </w:lvl>
    <w:lvl w:ilvl="1" w:tplc="046D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6D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6D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6D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6D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6D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6D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6D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5AE"/>
    <w:rsid w:val="0002168C"/>
    <w:rsid w:val="00032FD8"/>
    <w:rsid w:val="000348D4"/>
    <w:rsid w:val="000422B8"/>
    <w:rsid w:val="000874E6"/>
    <w:rsid w:val="000A1B84"/>
    <w:rsid w:val="000B199F"/>
    <w:rsid w:val="000C77C1"/>
    <w:rsid w:val="000D34D4"/>
    <w:rsid w:val="001054B4"/>
    <w:rsid w:val="00107830"/>
    <w:rsid w:val="00146FC6"/>
    <w:rsid w:val="00160EE3"/>
    <w:rsid w:val="00165544"/>
    <w:rsid w:val="00165BD3"/>
    <w:rsid w:val="001C00CB"/>
    <w:rsid w:val="001D3452"/>
    <w:rsid w:val="001E00C1"/>
    <w:rsid w:val="002605AA"/>
    <w:rsid w:val="0026775F"/>
    <w:rsid w:val="00301E21"/>
    <w:rsid w:val="0031100C"/>
    <w:rsid w:val="00321065"/>
    <w:rsid w:val="00364157"/>
    <w:rsid w:val="003C3891"/>
    <w:rsid w:val="004440E5"/>
    <w:rsid w:val="00457945"/>
    <w:rsid w:val="004627C8"/>
    <w:rsid w:val="0046607D"/>
    <w:rsid w:val="00492FC1"/>
    <w:rsid w:val="004A4E94"/>
    <w:rsid w:val="004C6812"/>
    <w:rsid w:val="004E4333"/>
    <w:rsid w:val="004F5198"/>
    <w:rsid w:val="00521D8A"/>
    <w:rsid w:val="00584506"/>
    <w:rsid w:val="005A6517"/>
    <w:rsid w:val="005B602F"/>
    <w:rsid w:val="00606A8B"/>
    <w:rsid w:val="006075C1"/>
    <w:rsid w:val="00622812"/>
    <w:rsid w:val="00684E4C"/>
    <w:rsid w:val="006B0105"/>
    <w:rsid w:val="006D6E21"/>
    <w:rsid w:val="00703DC3"/>
    <w:rsid w:val="0073184D"/>
    <w:rsid w:val="00741433"/>
    <w:rsid w:val="007925FB"/>
    <w:rsid w:val="007A79B5"/>
    <w:rsid w:val="007C48FF"/>
    <w:rsid w:val="00830718"/>
    <w:rsid w:val="00846035"/>
    <w:rsid w:val="00854881"/>
    <w:rsid w:val="00864471"/>
    <w:rsid w:val="008703DA"/>
    <w:rsid w:val="008F3711"/>
    <w:rsid w:val="008F7CD9"/>
    <w:rsid w:val="009243FB"/>
    <w:rsid w:val="00991324"/>
    <w:rsid w:val="00992A54"/>
    <w:rsid w:val="009B0CD5"/>
    <w:rsid w:val="009B644A"/>
    <w:rsid w:val="009C562C"/>
    <w:rsid w:val="00A47BF9"/>
    <w:rsid w:val="00A7655B"/>
    <w:rsid w:val="00A90615"/>
    <w:rsid w:val="00AA1D19"/>
    <w:rsid w:val="00AC019F"/>
    <w:rsid w:val="00B135AE"/>
    <w:rsid w:val="00B150C5"/>
    <w:rsid w:val="00B2121A"/>
    <w:rsid w:val="00B70A3D"/>
    <w:rsid w:val="00BE3BB4"/>
    <w:rsid w:val="00BF2CCA"/>
    <w:rsid w:val="00C35CAC"/>
    <w:rsid w:val="00C6588C"/>
    <w:rsid w:val="00C84293"/>
    <w:rsid w:val="00C90597"/>
    <w:rsid w:val="00CA1748"/>
    <w:rsid w:val="00D16B4D"/>
    <w:rsid w:val="00D37801"/>
    <w:rsid w:val="00D40818"/>
    <w:rsid w:val="00D9279C"/>
    <w:rsid w:val="00DC2BA5"/>
    <w:rsid w:val="00DE5CC8"/>
    <w:rsid w:val="00DF2FEF"/>
    <w:rsid w:val="00E15404"/>
    <w:rsid w:val="00E47B07"/>
    <w:rsid w:val="00E507EB"/>
    <w:rsid w:val="00E73A66"/>
    <w:rsid w:val="00EC5042"/>
    <w:rsid w:val="00EE1638"/>
    <w:rsid w:val="00F04477"/>
    <w:rsid w:val="00F34499"/>
    <w:rsid w:val="00F5688B"/>
    <w:rsid w:val="00F67319"/>
    <w:rsid w:val="00FE2DD2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078FB-998F-4DB7-A710-4D11D2FC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a-RU" w:eastAsia="zh-CN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5AE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35AE"/>
    <w:pPr>
      <w:keepNext/>
      <w:numPr>
        <w:numId w:val="2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B135A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B135AE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B135AE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B135AE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B135AE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B135AE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B135AE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B135AE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5AE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B135AE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rsid w:val="00B135AE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rsid w:val="00B135AE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rsid w:val="00B135AE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rsid w:val="00B135AE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rsid w:val="00B135AE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rsid w:val="00B135AE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rsid w:val="00B135AE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table" w:styleId="TableGrid">
    <w:name w:val="Table Grid"/>
    <w:basedOn w:val="TableNormal"/>
    <w:uiPriority w:val="59"/>
    <w:rsid w:val="00B135AE"/>
    <w:pPr>
      <w:spacing w:before="0"/>
      <w:ind w:left="0" w:firstLine="0"/>
      <w:jc w:val="lef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35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135A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5AE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35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AE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xana.maciuca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henadie.ivascenco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</dc:creator>
  <cp:lastModifiedBy>Oxana Maciuca</cp:lastModifiedBy>
  <cp:revision>20</cp:revision>
  <dcterms:created xsi:type="dcterms:W3CDTF">2019-03-15T09:58:00Z</dcterms:created>
  <dcterms:modified xsi:type="dcterms:W3CDTF">2019-03-25T13:47:00Z</dcterms:modified>
</cp:coreProperties>
</file>