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gridCol w:w="222"/>
        <w:gridCol w:w="222"/>
      </w:tblGrid>
      <w:tr w:rsidR="00361485" w:rsidTr="00856207">
        <w:trPr>
          <w:jc w:val="center"/>
        </w:trPr>
        <w:tc>
          <w:tcPr>
            <w:tcW w:w="10437" w:type="dxa"/>
            <w:vAlign w:val="center"/>
          </w:tcPr>
          <w:tbl>
            <w:tblPr>
              <w:tblW w:w="10221" w:type="dxa"/>
              <w:jc w:val="center"/>
              <w:tblLook w:val="04A0" w:firstRow="1" w:lastRow="0" w:firstColumn="1" w:lastColumn="0" w:noHBand="0" w:noVBand="1"/>
            </w:tblPr>
            <w:tblGrid>
              <w:gridCol w:w="3030"/>
              <w:gridCol w:w="2976"/>
              <w:gridCol w:w="1751"/>
              <w:gridCol w:w="2464"/>
            </w:tblGrid>
            <w:tr w:rsidR="00361485" w:rsidTr="007C48FF">
              <w:trPr>
                <w:trHeight w:val="1560"/>
                <w:jc w:val="center"/>
              </w:trPr>
              <w:tc>
                <w:tcPr>
                  <w:tcW w:w="3449" w:type="dxa"/>
                  <w:shd w:val="clear" w:color="auto" w:fill="auto"/>
                </w:tcPr>
                <w:p w:rsidR="00B135AE" w:rsidRPr="007360C5" w:rsidRDefault="00465D0E" w:rsidP="00856207">
                  <w:pPr>
                    <w:spacing w:after="120"/>
                    <w:jc w:val="center"/>
                    <w:rPr>
                      <w:b/>
                      <w:sz w:val="28"/>
                      <w:szCs w:val="28"/>
                      <w:lang w:val="ro-MD"/>
                    </w:rPr>
                  </w:pPr>
                  <w:bookmarkStart w:id="0" w:name="_Toc2329538"/>
                  <w:r w:rsidRPr="007360C5">
                    <w:rPr>
                      <w:noProof/>
                      <w:lang w:val="ru-RU" w:eastAsia="ru-RU"/>
                    </w:rPr>
                    <w:drawing>
                      <wp:inline distT="0" distB="0" distL="0" distR="0">
                        <wp:extent cx="609103" cy="705204"/>
                        <wp:effectExtent l="19050" t="0" r="497" b="0"/>
                        <wp:docPr id="2"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7" cstate="prin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B135AE" w:rsidRPr="007360C5" w:rsidRDefault="00465D0E" w:rsidP="00856207">
                  <w:pPr>
                    <w:spacing w:after="120"/>
                    <w:jc w:val="center"/>
                    <w:rPr>
                      <w:b/>
                      <w:sz w:val="28"/>
                      <w:szCs w:val="28"/>
                      <w:lang w:val="ro-MD"/>
                    </w:rPr>
                  </w:pPr>
                  <w:r w:rsidRPr="007360C5">
                    <w:rPr>
                      <w:b/>
                      <w:noProof/>
                      <w:sz w:val="28"/>
                      <w:szCs w:val="28"/>
                      <w:lang w:val="ru-RU" w:eastAsia="ru-RU"/>
                    </w:rPr>
                    <w:drawing>
                      <wp:inline distT="0" distB="0" distL="0" distR="0">
                        <wp:extent cx="1724025" cy="775811"/>
                        <wp:effectExtent l="19050" t="0" r="9525" b="0"/>
                        <wp:docPr id="3"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B135AE" w:rsidRPr="007360C5" w:rsidRDefault="00465D0E" w:rsidP="00856207">
                  <w:pPr>
                    <w:spacing w:after="120"/>
                    <w:jc w:val="center"/>
                    <w:rPr>
                      <w:b/>
                      <w:sz w:val="28"/>
                      <w:szCs w:val="28"/>
                      <w:lang w:val="ro-MD"/>
                    </w:rPr>
                  </w:pPr>
                  <w:r w:rsidRPr="007360C5">
                    <w:rPr>
                      <w:noProof/>
                      <w:lang w:val="ru-RU" w:eastAsia="ru-RU"/>
                    </w:rPr>
                    <w:drawing>
                      <wp:anchor distT="0" distB="0" distL="114300" distR="114300" simplePos="0" relativeHeight="251658240"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470" cy="704850"/>
                                </a:xfrm>
                                <a:prstGeom prst="rect">
                                  <a:avLst/>
                                </a:prstGeom>
                                <a:noFill/>
                                <a:ln>
                                  <a:noFill/>
                                </a:ln>
                              </pic:spPr>
                            </pic:pic>
                          </a:graphicData>
                        </a:graphic>
                      </wp:anchor>
                    </w:drawing>
                  </w:r>
                </w:p>
              </w:tc>
              <w:tc>
                <w:tcPr>
                  <w:tcW w:w="2743" w:type="dxa"/>
                </w:tcPr>
                <w:p w:rsidR="00B135AE" w:rsidRPr="007360C5" w:rsidRDefault="00465D0E" w:rsidP="00856207">
                  <w:pPr>
                    <w:spacing w:after="120"/>
                    <w:ind w:right="-465" w:firstLine="225"/>
                    <w:jc w:val="center"/>
                    <w:rPr>
                      <w:lang w:val="ro-MD" w:eastAsia="ro-RO"/>
                    </w:rPr>
                  </w:pPr>
                  <w:r w:rsidRPr="007360C5">
                    <w:rPr>
                      <w:noProof/>
                      <w:lang w:val="ru-RU" w:eastAsia="ru-RU"/>
                    </w:rPr>
                    <w:drawing>
                      <wp:inline distT="0" distB="0" distL="0" distR="0">
                        <wp:extent cx="933450" cy="650657"/>
                        <wp:effectExtent l="19050" t="0" r="0" b="0"/>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6311" cy="652651"/>
                                </a:xfrm>
                                <a:prstGeom prst="rect">
                                  <a:avLst/>
                                </a:prstGeom>
                                <a:noFill/>
                              </pic:spPr>
                            </pic:pic>
                          </a:graphicData>
                        </a:graphic>
                      </wp:inline>
                    </w:drawing>
                  </w:r>
                </w:p>
              </w:tc>
            </w:tr>
          </w:tbl>
          <w:p w:rsidR="00B135AE" w:rsidRPr="007360C5" w:rsidRDefault="00192522" w:rsidP="00856207">
            <w:pPr>
              <w:spacing w:after="120"/>
              <w:rPr>
                <w:b/>
                <w:sz w:val="28"/>
                <w:szCs w:val="28"/>
                <w:lang w:val="ro-MD"/>
              </w:rPr>
            </w:pPr>
          </w:p>
        </w:tc>
        <w:tc>
          <w:tcPr>
            <w:tcW w:w="222" w:type="dxa"/>
            <w:vAlign w:val="center"/>
          </w:tcPr>
          <w:p w:rsidR="00B135AE" w:rsidRPr="007360C5" w:rsidRDefault="00192522" w:rsidP="00856207">
            <w:pPr>
              <w:spacing w:after="120"/>
              <w:jc w:val="center"/>
              <w:rPr>
                <w:b/>
                <w:sz w:val="28"/>
                <w:szCs w:val="28"/>
                <w:lang w:val="ro-MD"/>
              </w:rPr>
            </w:pPr>
          </w:p>
        </w:tc>
        <w:tc>
          <w:tcPr>
            <w:tcW w:w="222" w:type="dxa"/>
            <w:vAlign w:val="center"/>
          </w:tcPr>
          <w:p w:rsidR="00B135AE" w:rsidRPr="007360C5" w:rsidRDefault="00192522" w:rsidP="00856207">
            <w:pPr>
              <w:spacing w:after="120"/>
              <w:jc w:val="right"/>
              <w:rPr>
                <w:b/>
                <w:sz w:val="28"/>
                <w:szCs w:val="28"/>
                <w:lang w:val="ro-MD"/>
              </w:rPr>
            </w:pPr>
          </w:p>
        </w:tc>
      </w:tr>
    </w:tbl>
    <w:bookmarkEnd w:id="0"/>
    <w:p w:rsidR="00B135AE" w:rsidRPr="00703DC3" w:rsidRDefault="00465D0E" w:rsidP="007C48FF">
      <w:pPr>
        <w:tabs>
          <w:tab w:val="left" w:pos="4170"/>
        </w:tabs>
        <w:spacing w:after="0" w:line="240" w:lineRule="auto"/>
        <w:jc w:val="center"/>
        <w:rPr>
          <w:rFonts w:ascii="Myriad Pro" w:hAnsi="Myriad Pro"/>
          <w:b/>
          <w:smallCaps/>
          <w:color w:val="0000FF"/>
          <w:spacing w:val="20"/>
          <w:sz w:val="32"/>
          <w:szCs w:val="32"/>
          <w:lang w:val="ro-MD"/>
        </w:rPr>
      </w:pPr>
      <w:r w:rsidRPr="00703DC3">
        <w:rPr>
          <w:rFonts w:ascii="Myriad Pro" w:hAnsi="Myriad Pro"/>
          <w:b/>
          <w:smallCaps/>
          <w:color w:val="0000FF"/>
          <w:spacing w:val="20"/>
          <w:sz w:val="32"/>
          <w:szCs w:val="32"/>
          <w:lang w:val="ru-RU"/>
        </w:rPr>
        <w:t>Конкурс</w:t>
      </w:r>
    </w:p>
    <w:p w:rsidR="00B135AE" w:rsidRPr="00703DC3" w:rsidRDefault="00465D0E" w:rsidP="00B135AE">
      <w:pPr>
        <w:tabs>
          <w:tab w:val="left" w:pos="4170"/>
        </w:tabs>
        <w:spacing w:after="0" w:line="240" w:lineRule="auto"/>
        <w:jc w:val="center"/>
        <w:rPr>
          <w:rFonts w:ascii="Myriad Pro" w:hAnsi="Myriad Pro"/>
          <w:b/>
          <w:smallCaps/>
          <w:color w:val="0000FF"/>
          <w:spacing w:val="20"/>
          <w:sz w:val="32"/>
          <w:szCs w:val="32"/>
          <w:lang w:val="ro-MD"/>
        </w:rPr>
      </w:pPr>
      <w:r w:rsidRPr="00703DC3">
        <w:rPr>
          <w:rFonts w:ascii="Myriad Pro" w:hAnsi="Myriad Pro"/>
          <w:b/>
          <w:smallCaps/>
          <w:color w:val="0000FF"/>
          <w:spacing w:val="20"/>
          <w:sz w:val="32"/>
          <w:szCs w:val="32"/>
          <w:lang w:val="ru-RU"/>
        </w:rPr>
        <w:t>по выбору населенных пунктов-бенефициаров проекта ПРООН "Миграция и местное развитие" 2019-2022 гг.</w:t>
      </w:r>
    </w:p>
    <w:p w:rsidR="00B135AE" w:rsidRPr="007360C5" w:rsidRDefault="00192522" w:rsidP="00B135AE">
      <w:pPr>
        <w:tabs>
          <w:tab w:val="left" w:pos="4170"/>
        </w:tabs>
        <w:spacing w:after="0" w:line="240" w:lineRule="auto"/>
        <w:jc w:val="center"/>
        <w:rPr>
          <w:rFonts w:ascii="Myriad Pro" w:hAnsi="Myriad Pro"/>
          <w:b/>
          <w:smallCaps/>
          <w:color w:val="000000" w:themeColor="text1"/>
          <w:spacing w:val="20"/>
          <w:sz w:val="28"/>
          <w:szCs w:val="28"/>
          <w:lang w:val="ro-MD"/>
        </w:rPr>
      </w:pPr>
    </w:p>
    <w:p w:rsidR="00EC5042" w:rsidRDefault="00465D0E" w:rsidP="00B135AE">
      <w:pPr>
        <w:spacing w:after="0" w:line="240" w:lineRule="auto"/>
        <w:jc w:val="both"/>
        <w:rPr>
          <w:sz w:val="20"/>
          <w:szCs w:val="20"/>
          <w:lang w:val="ro-MD"/>
        </w:rPr>
      </w:pPr>
      <w:r w:rsidRPr="00EC5042">
        <w:rPr>
          <w:sz w:val="20"/>
          <w:szCs w:val="20"/>
          <w:lang w:val="ru-RU"/>
        </w:rPr>
        <w:t xml:space="preserve">Проект ПРООН "Миграция и местное развитие - 2 этап" объявляет конкурс по отбору населенных пунктов-бенефициаров на 2019-2022 годы. </w:t>
      </w:r>
    </w:p>
    <w:p w:rsidR="00EC5042" w:rsidRDefault="00192522" w:rsidP="00B135AE">
      <w:pPr>
        <w:spacing w:after="0" w:line="240" w:lineRule="auto"/>
        <w:jc w:val="both"/>
        <w:rPr>
          <w:sz w:val="20"/>
          <w:szCs w:val="20"/>
          <w:lang w:val="ro-MD"/>
        </w:rPr>
      </w:pPr>
    </w:p>
    <w:p w:rsidR="00EC5042" w:rsidRPr="00EC5042" w:rsidRDefault="00465D0E" w:rsidP="00B135AE">
      <w:pPr>
        <w:spacing w:after="0" w:line="240" w:lineRule="auto"/>
        <w:jc w:val="both"/>
        <w:rPr>
          <w:sz w:val="20"/>
          <w:szCs w:val="20"/>
          <w:lang w:val="ro-MD"/>
        </w:rPr>
      </w:pPr>
      <w:r w:rsidRPr="007360C5">
        <w:rPr>
          <w:sz w:val="20"/>
          <w:szCs w:val="20"/>
          <w:lang w:val="ru-RU"/>
        </w:rPr>
        <w:t>Целью проекта "Миграция и местное развитие" является поддержка развития населенных пунктов в Республике Молдова, пострадавших от миграции, путем стимулирования местного экономического развития, в том числе путем поощрения участия диаспоры в процессе возрождения населенных пунктов на родине.</w:t>
      </w:r>
    </w:p>
    <w:p w:rsidR="00EC5042" w:rsidRDefault="00192522" w:rsidP="00B135AE">
      <w:pPr>
        <w:spacing w:after="0" w:line="240" w:lineRule="auto"/>
        <w:jc w:val="both"/>
        <w:rPr>
          <w:b/>
          <w:sz w:val="20"/>
          <w:szCs w:val="20"/>
          <w:u w:val="single"/>
          <w:lang w:val="ro-MD"/>
        </w:rPr>
      </w:pPr>
    </w:p>
    <w:p w:rsidR="00B135AE" w:rsidRPr="00450384" w:rsidRDefault="00465D0E" w:rsidP="00B135AE">
      <w:pPr>
        <w:spacing w:after="0" w:line="240" w:lineRule="auto"/>
        <w:jc w:val="both"/>
        <w:rPr>
          <w:rFonts w:cs="Arial"/>
          <w:sz w:val="20"/>
          <w:szCs w:val="20"/>
          <w:lang w:val="ro-MD"/>
        </w:rPr>
      </w:pPr>
      <w:r>
        <w:rPr>
          <w:rFonts w:cs="Arial"/>
          <w:sz w:val="20"/>
          <w:szCs w:val="20"/>
          <w:lang w:val="ru-RU"/>
        </w:rPr>
        <w:t>На первом этапе проекта предлагается провести предварительный отбор 35 населенных пунктов для оказания им поддержки в создании функциональных партнерских отношений с бизнес-</w:t>
      </w:r>
      <w:r w:rsidR="00237403">
        <w:rPr>
          <w:rFonts w:cs="Arial"/>
          <w:sz w:val="20"/>
          <w:szCs w:val="20"/>
          <w:lang w:val="ru-RU"/>
        </w:rPr>
        <w:t>сообществом и</w:t>
      </w:r>
      <w:r>
        <w:rPr>
          <w:rFonts w:cs="Arial"/>
          <w:sz w:val="20"/>
          <w:szCs w:val="20"/>
          <w:lang w:val="ru-RU"/>
        </w:rPr>
        <w:t xml:space="preserve"> сообществом мигрантов для выявления и продвижения инновационных решений экономического развития на местах. Затем на основе дополнительного конкурса будут отобраны 25 населенных пунктов (из 35 предварительно отобранных) для предоставления грантов на сумму до 60.000 долларов США для реализации решений, выявленных в области экономического развития на местах. </w:t>
      </w:r>
    </w:p>
    <w:p w:rsidR="00B135AE" w:rsidRPr="00450384" w:rsidRDefault="00192522" w:rsidP="00B135AE">
      <w:pPr>
        <w:spacing w:after="0" w:line="240" w:lineRule="auto"/>
        <w:jc w:val="both"/>
        <w:rPr>
          <w:rFonts w:cs="Arial"/>
          <w:sz w:val="20"/>
          <w:szCs w:val="20"/>
          <w:lang w:val="ro-MD"/>
        </w:rPr>
      </w:pPr>
    </w:p>
    <w:p w:rsidR="00B135AE" w:rsidRDefault="00465D0E" w:rsidP="00B135AE">
      <w:pPr>
        <w:spacing w:after="0" w:line="240" w:lineRule="auto"/>
        <w:jc w:val="both"/>
        <w:rPr>
          <w:b/>
          <w:sz w:val="20"/>
          <w:szCs w:val="20"/>
          <w:u w:val="single"/>
          <w:lang w:val="ro-MD"/>
        </w:rPr>
      </w:pPr>
      <w:r>
        <w:rPr>
          <w:b/>
          <w:sz w:val="20"/>
          <w:szCs w:val="20"/>
          <w:u w:val="single"/>
          <w:lang w:val="ru-RU"/>
        </w:rPr>
        <w:t xml:space="preserve">Срок подачи заявок: </w:t>
      </w:r>
    </w:p>
    <w:p w:rsidR="00B135AE" w:rsidRDefault="00192522" w:rsidP="00B135AE">
      <w:pPr>
        <w:spacing w:after="0" w:line="240" w:lineRule="auto"/>
        <w:jc w:val="both"/>
        <w:rPr>
          <w:b/>
          <w:sz w:val="20"/>
          <w:szCs w:val="20"/>
          <w:u w:val="single"/>
          <w:lang w:val="ro-MD"/>
        </w:rPr>
      </w:pPr>
    </w:p>
    <w:p w:rsidR="00B135AE" w:rsidRPr="002B787F" w:rsidRDefault="00465D0E" w:rsidP="00B135AE">
      <w:pPr>
        <w:spacing w:after="0" w:line="240" w:lineRule="auto"/>
        <w:jc w:val="both"/>
        <w:rPr>
          <w:rFonts w:cs="Arial"/>
          <w:sz w:val="20"/>
          <w:szCs w:val="20"/>
          <w:lang w:val="ro-MD"/>
        </w:rPr>
      </w:pPr>
      <w:r w:rsidRPr="002B787F">
        <w:rPr>
          <w:rFonts w:cs="Arial"/>
          <w:sz w:val="20"/>
          <w:szCs w:val="20"/>
          <w:lang w:val="ru-RU"/>
        </w:rPr>
        <w:t xml:space="preserve">Заявки должны быть представлены </w:t>
      </w:r>
      <w:r w:rsidRPr="009A7644">
        <w:rPr>
          <w:rFonts w:cs="Arial"/>
          <w:sz w:val="20"/>
          <w:szCs w:val="20"/>
          <w:lang w:val="ru-RU"/>
        </w:rPr>
        <w:t>до 17:00 25 апреля 2019 года</w:t>
      </w:r>
      <w:r w:rsidRPr="002B787F">
        <w:rPr>
          <w:rFonts w:cs="Arial"/>
          <w:sz w:val="20"/>
          <w:szCs w:val="20"/>
          <w:lang w:val="ru-RU"/>
        </w:rPr>
        <w:t xml:space="preserve"> </w:t>
      </w:r>
    </w:p>
    <w:p w:rsidR="00B135AE" w:rsidRPr="00450384" w:rsidRDefault="00192522" w:rsidP="00B135AE">
      <w:pPr>
        <w:spacing w:after="0" w:line="240" w:lineRule="auto"/>
        <w:jc w:val="both"/>
        <w:rPr>
          <w:b/>
          <w:sz w:val="20"/>
          <w:szCs w:val="20"/>
          <w:u w:val="single"/>
          <w:lang w:val="ro-MD"/>
        </w:rPr>
      </w:pPr>
    </w:p>
    <w:p w:rsidR="00B135AE" w:rsidRPr="00450384" w:rsidRDefault="00465D0E" w:rsidP="00B135AE">
      <w:pPr>
        <w:spacing w:after="0" w:line="240" w:lineRule="auto"/>
        <w:jc w:val="both"/>
        <w:rPr>
          <w:b/>
          <w:sz w:val="20"/>
          <w:szCs w:val="20"/>
          <w:u w:val="single"/>
          <w:lang w:val="ro-MD"/>
        </w:rPr>
      </w:pPr>
      <w:r w:rsidRPr="00450384">
        <w:rPr>
          <w:b/>
          <w:sz w:val="20"/>
          <w:szCs w:val="20"/>
          <w:u w:val="single"/>
          <w:lang w:val="ru-RU"/>
        </w:rPr>
        <w:t xml:space="preserve">Критерии отбора: </w:t>
      </w:r>
    </w:p>
    <w:p w:rsidR="00B135AE" w:rsidRPr="00C33371" w:rsidRDefault="00192522" w:rsidP="00B135AE">
      <w:pPr>
        <w:spacing w:after="0" w:line="240" w:lineRule="auto"/>
        <w:jc w:val="both"/>
        <w:rPr>
          <w:b/>
          <w:sz w:val="20"/>
          <w:szCs w:val="20"/>
          <w:u w:val="single"/>
          <w:lang w:val="ro-MD"/>
        </w:rPr>
      </w:pPr>
    </w:p>
    <w:p w:rsidR="00B135AE" w:rsidRPr="00450384" w:rsidRDefault="00465D0E" w:rsidP="00B135AE">
      <w:pPr>
        <w:spacing w:after="0" w:line="240" w:lineRule="auto"/>
        <w:rPr>
          <w:rFonts w:cs="Arial"/>
          <w:sz w:val="20"/>
          <w:szCs w:val="20"/>
          <w:lang w:val="ro-RO"/>
        </w:rPr>
      </w:pPr>
      <w:r w:rsidRPr="00450384">
        <w:rPr>
          <w:rFonts w:cs="Arial"/>
          <w:sz w:val="20"/>
          <w:szCs w:val="20"/>
          <w:lang w:val="ru-RU"/>
        </w:rPr>
        <w:t xml:space="preserve">Для того, чтобы заявитель был допущен к прохождению оценки, он должен соответствовать следующим минимальным критериям: </w:t>
      </w:r>
    </w:p>
    <w:p w:rsidR="00B135AE" w:rsidRPr="00F828C8" w:rsidRDefault="00237403" w:rsidP="007C48FF">
      <w:pPr>
        <w:pStyle w:val="ListParagraph"/>
        <w:numPr>
          <w:ilvl w:val="0"/>
          <w:numId w:val="1"/>
        </w:numPr>
        <w:ind w:left="714" w:hanging="357"/>
        <w:contextualSpacing w:val="0"/>
        <w:jc w:val="both"/>
        <w:rPr>
          <w:rFonts w:ascii="Calibri" w:hAnsi="Calibri" w:cs="Arial"/>
          <w:sz w:val="20"/>
          <w:szCs w:val="20"/>
          <w:lang w:val="ro-MD"/>
        </w:rPr>
      </w:pPr>
      <w:r>
        <w:rPr>
          <w:rFonts w:ascii="Calibri" w:hAnsi="Calibri" w:cs="Arial"/>
          <w:sz w:val="20"/>
          <w:szCs w:val="20"/>
          <w:lang w:val="ru-RU"/>
        </w:rPr>
        <w:t>являться о</w:t>
      </w:r>
      <w:r w:rsidR="00465D0E" w:rsidRPr="00F828C8">
        <w:rPr>
          <w:rFonts w:ascii="Calibri" w:hAnsi="Calibri" w:cs="Arial"/>
          <w:sz w:val="20"/>
          <w:szCs w:val="20"/>
          <w:lang w:val="ru-RU"/>
        </w:rPr>
        <w:t>рган</w:t>
      </w:r>
      <w:r>
        <w:rPr>
          <w:rFonts w:ascii="Calibri" w:hAnsi="Calibri" w:cs="Arial"/>
          <w:sz w:val="20"/>
          <w:szCs w:val="20"/>
          <w:lang w:val="ru-RU"/>
        </w:rPr>
        <w:t>ом</w:t>
      </w:r>
      <w:r w:rsidR="00465D0E" w:rsidRPr="00F828C8">
        <w:rPr>
          <w:rFonts w:ascii="Calibri" w:hAnsi="Calibri" w:cs="Arial"/>
          <w:sz w:val="20"/>
          <w:szCs w:val="20"/>
          <w:lang w:val="ru-RU"/>
        </w:rPr>
        <w:t xml:space="preserve"> местного публичного управления перв</w:t>
      </w:r>
      <w:r>
        <w:rPr>
          <w:rFonts w:ascii="Calibri" w:hAnsi="Calibri" w:cs="Arial"/>
          <w:sz w:val="20"/>
          <w:szCs w:val="20"/>
          <w:lang w:val="ru-RU"/>
        </w:rPr>
        <w:t>ого уровня в Республике Молдова;</w:t>
      </w:r>
      <w:r w:rsidR="00465D0E" w:rsidRPr="00F828C8">
        <w:rPr>
          <w:rFonts w:ascii="Calibri" w:hAnsi="Calibri" w:cs="Arial"/>
          <w:sz w:val="20"/>
          <w:szCs w:val="20"/>
          <w:lang w:val="ru-RU"/>
        </w:rPr>
        <w:t xml:space="preserve"> </w:t>
      </w:r>
    </w:p>
    <w:p w:rsidR="00B135AE" w:rsidRPr="00F828C8" w:rsidRDefault="00237403" w:rsidP="007C48FF">
      <w:pPr>
        <w:pStyle w:val="ListParagraph"/>
        <w:numPr>
          <w:ilvl w:val="0"/>
          <w:numId w:val="1"/>
        </w:numPr>
        <w:ind w:left="714" w:hanging="357"/>
        <w:contextualSpacing w:val="0"/>
        <w:jc w:val="both"/>
        <w:rPr>
          <w:rFonts w:ascii="Calibri" w:hAnsi="Calibri" w:cs="Arial"/>
          <w:sz w:val="20"/>
          <w:szCs w:val="20"/>
          <w:lang w:val="ro-MD"/>
        </w:rPr>
      </w:pPr>
      <w:r>
        <w:rPr>
          <w:rFonts w:ascii="Calibri" w:hAnsi="Calibri" w:cs="Arial"/>
          <w:sz w:val="20"/>
          <w:szCs w:val="20"/>
          <w:lang w:val="ru-RU"/>
        </w:rPr>
        <w:t>численность населения</w:t>
      </w:r>
      <w:r w:rsidR="00465D0E">
        <w:rPr>
          <w:rStyle w:val="FootnoteReference"/>
          <w:rFonts w:ascii="Calibri" w:hAnsi="Calibri" w:cs="Arial"/>
          <w:sz w:val="20"/>
          <w:szCs w:val="20"/>
          <w:lang w:val="ro-MD"/>
        </w:rPr>
        <w:footnoteReference w:id="1"/>
      </w:r>
      <w:r w:rsidR="00465D0E" w:rsidRPr="00F828C8">
        <w:rPr>
          <w:rFonts w:ascii="Calibri" w:hAnsi="Calibri" w:cs="Arial"/>
          <w:sz w:val="20"/>
          <w:szCs w:val="20"/>
          <w:lang w:val="ru-RU"/>
        </w:rPr>
        <w:t xml:space="preserve">: минимально 4.000 жителей (согласно официальным данным местного </w:t>
      </w:r>
      <w:r>
        <w:rPr>
          <w:rFonts w:ascii="Calibri" w:hAnsi="Calibri" w:cs="Arial"/>
          <w:sz w:val="20"/>
          <w:szCs w:val="20"/>
          <w:lang w:val="ru-RU"/>
        </w:rPr>
        <w:t xml:space="preserve">органа </w:t>
      </w:r>
      <w:r w:rsidR="00465D0E" w:rsidRPr="00F828C8">
        <w:rPr>
          <w:rFonts w:ascii="Calibri" w:hAnsi="Calibri" w:cs="Arial"/>
          <w:sz w:val="20"/>
          <w:szCs w:val="20"/>
          <w:lang w:val="ru-RU"/>
        </w:rPr>
        <w:t xml:space="preserve">публичного управления </w:t>
      </w:r>
      <w:r>
        <w:rPr>
          <w:rFonts w:ascii="Calibri" w:hAnsi="Calibri" w:cs="Arial"/>
          <w:sz w:val="20"/>
          <w:szCs w:val="20"/>
          <w:lang w:val="ru-RU"/>
        </w:rPr>
        <w:t>по состоянию на 01.01.2019 г.);</w:t>
      </w:r>
    </w:p>
    <w:p w:rsidR="00B135AE" w:rsidRPr="00F828C8" w:rsidRDefault="00237403" w:rsidP="007C48FF">
      <w:pPr>
        <w:pStyle w:val="ListParagraph"/>
        <w:numPr>
          <w:ilvl w:val="0"/>
          <w:numId w:val="1"/>
        </w:numPr>
        <w:ind w:left="714" w:hanging="357"/>
        <w:contextualSpacing w:val="0"/>
        <w:jc w:val="both"/>
        <w:rPr>
          <w:rFonts w:ascii="Calibri" w:hAnsi="Calibri" w:cs="Arial"/>
          <w:sz w:val="20"/>
          <w:szCs w:val="20"/>
          <w:lang w:val="ro-MD"/>
        </w:rPr>
      </w:pPr>
      <w:r>
        <w:rPr>
          <w:rFonts w:ascii="Calibri" w:hAnsi="Calibri" w:cs="Arial"/>
          <w:sz w:val="20"/>
          <w:szCs w:val="20"/>
          <w:lang w:val="ru-RU"/>
        </w:rPr>
        <w:t>ф</w:t>
      </w:r>
      <w:r w:rsidR="00465D0E" w:rsidRPr="00F828C8">
        <w:rPr>
          <w:rFonts w:ascii="Calibri" w:hAnsi="Calibri" w:cs="Arial"/>
          <w:sz w:val="20"/>
          <w:szCs w:val="20"/>
          <w:lang w:val="ru-RU"/>
        </w:rPr>
        <w:t xml:space="preserve">орма </w:t>
      </w:r>
      <w:r>
        <w:rPr>
          <w:rFonts w:ascii="Calibri" w:hAnsi="Calibri" w:cs="Arial"/>
          <w:sz w:val="20"/>
          <w:szCs w:val="20"/>
          <w:lang w:val="ru-RU"/>
        </w:rPr>
        <w:t xml:space="preserve">заявки </w:t>
      </w:r>
      <w:r w:rsidR="00465D0E" w:rsidRPr="00F828C8">
        <w:rPr>
          <w:rFonts w:ascii="Calibri" w:hAnsi="Calibri" w:cs="Arial"/>
          <w:sz w:val="20"/>
          <w:szCs w:val="20"/>
          <w:lang w:val="ru-RU"/>
        </w:rPr>
        <w:t xml:space="preserve">заполнена и подана </w:t>
      </w:r>
      <w:r>
        <w:rPr>
          <w:rFonts w:ascii="Calibri" w:hAnsi="Calibri" w:cs="Arial"/>
          <w:sz w:val="20"/>
          <w:szCs w:val="20"/>
          <w:lang w:val="ru-RU"/>
        </w:rPr>
        <w:t xml:space="preserve">в срок </w:t>
      </w:r>
      <w:r w:rsidR="00465D0E" w:rsidRPr="00F828C8">
        <w:rPr>
          <w:rFonts w:ascii="Calibri" w:hAnsi="Calibri" w:cs="Arial"/>
          <w:sz w:val="20"/>
          <w:szCs w:val="20"/>
          <w:lang w:val="ru-RU"/>
        </w:rPr>
        <w:t>в соответствии с выдвинутыми требованиями</w:t>
      </w:r>
      <w:r>
        <w:rPr>
          <w:rFonts w:ascii="Calibri" w:hAnsi="Calibri" w:cs="Arial"/>
          <w:sz w:val="20"/>
          <w:szCs w:val="20"/>
          <w:lang w:val="ru-RU"/>
        </w:rPr>
        <w:t>;</w:t>
      </w:r>
      <w:r w:rsidR="00465D0E" w:rsidRPr="00F828C8">
        <w:rPr>
          <w:rFonts w:ascii="Calibri" w:hAnsi="Calibri" w:cs="Arial"/>
          <w:sz w:val="20"/>
          <w:szCs w:val="20"/>
          <w:lang w:val="ru-RU"/>
        </w:rPr>
        <w:t xml:space="preserve"> </w:t>
      </w:r>
    </w:p>
    <w:p w:rsidR="00B135AE" w:rsidRDefault="00237403" w:rsidP="007C48FF">
      <w:pPr>
        <w:pStyle w:val="ListParagraph"/>
        <w:numPr>
          <w:ilvl w:val="0"/>
          <w:numId w:val="1"/>
        </w:numPr>
        <w:ind w:left="714" w:hanging="357"/>
        <w:contextualSpacing w:val="0"/>
        <w:jc w:val="both"/>
        <w:rPr>
          <w:rFonts w:ascii="Calibri" w:hAnsi="Calibri" w:cs="Arial"/>
          <w:sz w:val="20"/>
          <w:szCs w:val="20"/>
          <w:lang w:val="ro-MD"/>
        </w:rPr>
      </w:pPr>
      <w:r>
        <w:rPr>
          <w:rFonts w:ascii="Calibri" w:hAnsi="Calibri" w:cs="Arial"/>
          <w:sz w:val="20"/>
          <w:szCs w:val="20"/>
          <w:lang w:val="ru-RU"/>
        </w:rPr>
        <w:t>орган</w:t>
      </w:r>
      <w:r w:rsidR="00465D0E">
        <w:rPr>
          <w:rFonts w:ascii="Calibri" w:hAnsi="Calibri" w:cs="Arial"/>
          <w:sz w:val="20"/>
          <w:szCs w:val="20"/>
          <w:lang w:val="ru-RU"/>
        </w:rPr>
        <w:t xml:space="preserve"> публичного управления </w:t>
      </w:r>
      <w:r>
        <w:rPr>
          <w:rFonts w:ascii="Calibri" w:hAnsi="Calibri" w:cs="Arial"/>
          <w:sz w:val="20"/>
          <w:szCs w:val="20"/>
          <w:lang w:val="ru-RU"/>
        </w:rPr>
        <w:t xml:space="preserve">имеет возможности и обязуется профинансировать </w:t>
      </w:r>
      <w:r w:rsidR="00465D0E">
        <w:rPr>
          <w:rFonts w:ascii="Calibri" w:hAnsi="Calibri" w:cs="Arial"/>
          <w:sz w:val="20"/>
          <w:szCs w:val="20"/>
          <w:lang w:val="ru-RU"/>
        </w:rPr>
        <w:t>совместно (вместе с местными партнерами) не менее 50% суммы по согласованным инициативам, если они будут выбраны (по оце</w:t>
      </w:r>
      <w:r>
        <w:rPr>
          <w:rFonts w:ascii="Calibri" w:hAnsi="Calibri" w:cs="Arial"/>
          <w:sz w:val="20"/>
          <w:szCs w:val="20"/>
          <w:lang w:val="ru-RU"/>
        </w:rPr>
        <w:t>нкам – до 60.000 долларов США);</w:t>
      </w:r>
    </w:p>
    <w:p w:rsidR="00B135AE" w:rsidRPr="00C33371" w:rsidRDefault="00237403" w:rsidP="007C48FF">
      <w:pPr>
        <w:pStyle w:val="ListParagraph"/>
        <w:numPr>
          <w:ilvl w:val="0"/>
          <w:numId w:val="1"/>
        </w:numPr>
        <w:ind w:left="714" w:hanging="357"/>
        <w:contextualSpacing w:val="0"/>
        <w:jc w:val="both"/>
        <w:rPr>
          <w:rFonts w:ascii="Calibri" w:hAnsi="Calibri" w:cs="Arial"/>
          <w:sz w:val="20"/>
          <w:szCs w:val="20"/>
          <w:lang w:val="ro-MD"/>
        </w:rPr>
      </w:pPr>
      <w:r>
        <w:rPr>
          <w:rFonts w:ascii="Calibri" w:hAnsi="Calibri" w:cs="Arial"/>
          <w:sz w:val="20"/>
          <w:szCs w:val="20"/>
          <w:lang w:val="ru-RU"/>
        </w:rPr>
        <w:t>н</w:t>
      </w:r>
      <w:r w:rsidR="00465D0E" w:rsidRPr="00C33371">
        <w:rPr>
          <w:rFonts w:ascii="Calibri" w:hAnsi="Calibri" w:cs="Arial"/>
          <w:sz w:val="20"/>
          <w:szCs w:val="20"/>
          <w:lang w:val="ru-RU"/>
        </w:rPr>
        <w:t xml:space="preserve">аличие действующего большинства в местном совете и наличие эффективного формата сотрудничества между местным советом и </w:t>
      </w:r>
      <w:proofErr w:type="spellStart"/>
      <w:r w:rsidR="00465D0E" w:rsidRPr="00C33371">
        <w:rPr>
          <w:rFonts w:ascii="Calibri" w:hAnsi="Calibri" w:cs="Arial"/>
          <w:sz w:val="20"/>
          <w:szCs w:val="20"/>
          <w:lang w:val="ru-RU"/>
        </w:rPr>
        <w:t>примаром</w:t>
      </w:r>
      <w:proofErr w:type="spellEnd"/>
      <w:r w:rsidR="00465D0E" w:rsidRPr="00C33371">
        <w:rPr>
          <w:rFonts w:ascii="Calibri" w:hAnsi="Calibri" w:cs="Arial"/>
          <w:sz w:val="20"/>
          <w:szCs w:val="20"/>
          <w:lang w:val="ru-RU"/>
        </w:rPr>
        <w:t xml:space="preserve">. </w:t>
      </w:r>
    </w:p>
    <w:p w:rsidR="00B135AE" w:rsidRPr="00C33371" w:rsidRDefault="00192522" w:rsidP="00B135AE">
      <w:pPr>
        <w:spacing w:after="0" w:line="240" w:lineRule="auto"/>
        <w:rPr>
          <w:rFonts w:cs="Arial"/>
          <w:sz w:val="20"/>
          <w:szCs w:val="20"/>
          <w:lang w:val="ro-RO"/>
        </w:rPr>
      </w:pPr>
    </w:p>
    <w:p w:rsidR="00B135AE" w:rsidRDefault="00465D0E" w:rsidP="00B135AE">
      <w:pPr>
        <w:spacing w:after="0" w:line="240" w:lineRule="auto"/>
        <w:jc w:val="both"/>
        <w:rPr>
          <w:b/>
          <w:sz w:val="20"/>
          <w:szCs w:val="20"/>
          <w:u w:val="single"/>
          <w:lang w:val="ro-MD"/>
        </w:rPr>
      </w:pPr>
      <w:r>
        <w:rPr>
          <w:b/>
          <w:sz w:val="20"/>
          <w:szCs w:val="20"/>
          <w:u w:val="single"/>
          <w:lang w:val="ru-RU"/>
        </w:rPr>
        <w:t xml:space="preserve">Дополнительная информация: </w:t>
      </w:r>
    </w:p>
    <w:p w:rsidR="00B135AE" w:rsidRPr="00C33371" w:rsidRDefault="00192522" w:rsidP="00B135AE">
      <w:pPr>
        <w:spacing w:after="0" w:line="240" w:lineRule="auto"/>
        <w:jc w:val="both"/>
        <w:rPr>
          <w:b/>
          <w:sz w:val="20"/>
          <w:szCs w:val="20"/>
          <w:u w:val="single"/>
          <w:lang w:val="ro-MD"/>
        </w:rPr>
      </w:pPr>
    </w:p>
    <w:p w:rsidR="00B135AE" w:rsidRPr="00497A8D" w:rsidRDefault="00465D0E" w:rsidP="00B135AE">
      <w:pPr>
        <w:spacing w:after="0" w:line="240" w:lineRule="auto"/>
        <w:jc w:val="both"/>
        <w:rPr>
          <w:rFonts w:cs="Arial"/>
          <w:sz w:val="20"/>
          <w:szCs w:val="20"/>
          <w:lang w:val="ro-RO"/>
        </w:rPr>
      </w:pPr>
      <w:r w:rsidRPr="00497A8D">
        <w:rPr>
          <w:rFonts w:cs="Arial"/>
          <w:sz w:val="20"/>
          <w:szCs w:val="20"/>
          <w:lang w:val="ru-RU"/>
        </w:rPr>
        <w:t>Дополнительную информацию можно получить, обратившись к следующим сотрудникам проекта "Миграция и местное развитие":</w:t>
      </w:r>
    </w:p>
    <w:p w:rsidR="00846035" w:rsidRPr="00497A8D" w:rsidRDefault="00465D0E" w:rsidP="00846035">
      <w:pPr>
        <w:pStyle w:val="ListParagraph"/>
        <w:numPr>
          <w:ilvl w:val="0"/>
          <w:numId w:val="1"/>
        </w:numPr>
        <w:ind w:left="714" w:hanging="357"/>
        <w:contextualSpacing w:val="0"/>
        <w:jc w:val="both"/>
        <w:rPr>
          <w:rFonts w:ascii="Calibri" w:hAnsi="Calibri" w:cs="Arial"/>
          <w:sz w:val="20"/>
          <w:szCs w:val="20"/>
          <w:lang w:val="ro-MD"/>
        </w:rPr>
      </w:pPr>
      <w:r w:rsidRPr="00497A8D">
        <w:rPr>
          <w:rFonts w:ascii="Calibri" w:hAnsi="Calibri" w:cs="Arial"/>
          <w:sz w:val="20"/>
          <w:szCs w:val="20"/>
          <w:lang w:val="ru-RU"/>
        </w:rPr>
        <w:t xml:space="preserve">Геннадий Иващенко, </w:t>
      </w:r>
      <w:hyperlink r:id="rId11" w:history="1">
        <w:r w:rsidRPr="00497A8D">
          <w:rPr>
            <w:rFonts w:ascii="Calibri" w:hAnsi="Calibri"/>
            <w:sz w:val="20"/>
            <w:szCs w:val="20"/>
            <w:lang w:val="ru-RU"/>
          </w:rPr>
          <w:t>ghenadie.ivascenco@gmail.com</w:t>
        </w:r>
      </w:hyperlink>
      <w:r w:rsidRPr="00497A8D">
        <w:rPr>
          <w:rFonts w:ascii="Calibri" w:hAnsi="Calibri" w:cs="Arial"/>
          <w:sz w:val="20"/>
          <w:szCs w:val="20"/>
          <w:lang w:val="ru-RU"/>
        </w:rPr>
        <w:t xml:space="preserve">, 069835354 </w:t>
      </w:r>
    </w:p>
    <w:p w:rsidR="00B135AE" w:rsidRPr="00497A8D" w:rsidRDefault="00465D0E" w:rsidP="007C48FF">
      <w:pPr>
        <w:pStyle w:val="ListParagraph"/>
        <w:numPr>
          <w:ilvl w:val="0"/>
          <w:numId w:val="1"/>
        </w:numPr>
        <w:ind w:left="714" w:hanging="357"/>
        <w:contextualSpacing w:val="0"/>
        <w:jc w:val="both"/>
        <w:rPr>
          <w:rFonts w:ascii="Calibri" w:hAnsi="Calibri" w:cs="Arial"/>
          <w:sz w:val="20"/>
          <w:szCs w:val="20"/>
          <w:lang w:val="ro-MD"/>
        </w:rPr>
      </w:pPr>
      <w:r w:rsidRPr="00497A8D">
        <w:rPr>
          <w:rFonts w:ascii="Calibri" w:hAnsi="Calibri" w:cs="Arial"/>
          <w:sz w:val="20"/>
          <w:szCs w:val="20"/>
          <w:lang w:val="ru-RU"/>
        </w:rPr>
        <w:t xml:space="preserve">Оксана </w:t>
      </w:r>
      <w:proofErr w:type="spellStart"/>
      <w:r w:rsidRPr="00497A8D">
        <w:rPr>
          <w:rFonts w:ascii="Calibri" w:hAnsi="Calibri" w:cs="Arial"/>
          <w:sz w:val="20"/>
          <w:szCs w:val="20"/>
          <w:lang w:val="ru-RU"/>
        </w:rPr>
        <w:t>Мачука</w:t>
      </w:r>
      <w:proofErr w:type="spellEnd"/>
      <w:r w:rsidRPr="00497A8D">
        <w:rPr>
          <w:rFonts w:ascii="Calibri" w:hAnsi="Calibri" w:cs="Arial"/>
          <w:sz w:val="20"/>
          <w:szCs w:val="20"/>
          <w:lang w:val="ru-RU"/>
        </w:rPr>
        <w:t xml:space="preserve">, </w:t>
      </w:r>
      <w:hyperlink r:id="rId12" w:history="1">
        <w:r w:rsidRPr="00497A8D">
          <w:rPr>
            <w:rFonts w:ascii="Calibri" w:hAnsi="Calibri"/>
            <w:sz w:val="20"/>
            <w:szCs w:val="20"/>
            <w:lang w:val="ru-RU"/>
          </w:rPr>
          <w:t>oxana.maciuca@undp.org</w:t>
        </w:r>
      </w:hyperlink>
      <w:r w:rsidRPr="00497A8D">
        <w:rPr>
          <w:rFonts w:ascii="Calibri" w:hAnsi="Calibri" w:cs="Arial"/>
          <w:sz w:val="20"/>
          <w:szCs w:val="20"/>
          <w:lang w:val="ru-RU"/>
        </w:rPr>
        <w:t>, 069176586</w:t>
      </w:r>
    </w:p>
    <w:p w:rsidR="00492FC1" w:rsidRDefault="00192522" w:rsidP="00492FC1">
      <w:pPr>
        <w:spacing w:after="0" w:line="240" w:lineRule="auto"/>
        <w:jc w:val="both"/>
        <w:rPr>
          <w:b/>
          <w:sz w:val="20"/>
          <w:szCs w:val="20"/>
          <w:u w:val="single"/>
          <w:lang w:val="ro-MD"/>
        </w:rPr>
      </w:pPr>
    </w:p>
    <w:p w:rsidR="00492FC1" w:rsidRPr="00492FC1" w:rsidRDefault="00465D0E" w:rsidP="00492FC1">
      <w:pPr>
        <w:spacing w:after="0" w:line="240" w:lineRule="auto"/>
        <w:jc w:val="both"/>
        <w:rPr>
          <w:b/>
          <w:sz w:val="20"/>
          <w:szCs w:val="20"/>
          <w:u w:val="single"/>
          <w:lang w:val="ro-MD"/>
        </w:rPr>
      </w:pPr>
      <w:r w:rsidRPr="00492FC1">
        <w:rPr>
          <w:b/>
          <w:sz w:val="20"/>
          <w:szCs w:val="20"/>
          <w:u w:val="single"/>
          <w:lang w:val="ru-RU"/>
        </w:rPr>
        <w:t xml:space="preserve">Региональные информационные мероприятия: </w:t>
      </w:r>
    </w:p>
    <w:p w:rsidR="000A1B84" w:rsidRDefault="00192522" w:rsidP="00492FC1">
      <w:pPr>
        <w:spacing w:after="0" w:line="240" w:lineRule="auto"/>
        <w:jc w:val="both"/>
        <w:rPr>
          <w:rFonts w:cs="Arial"/>
          <w:sz w:val="20"/>
          <w:szCs w:val="20"/>
          <w:lang w:val="ro-RO"/>
        </w:rPr>
      </w:pPr>
    </w:p>
    <w:p w:rsidR="00584506" w:rsidRPr="00584506" w:rsidRDefault="00465D0E" w:rsidP="00584506">
      <w:pPr>
        <w:spacing w:after="0" w:line="240" w:lineRule="auto"/>
        <w:jc w:val="both"/>
        <w:rPr>
          <w:rFonts w:cs="Arial"/>
          <w:sz w:val="20"/>
          <w:szCs w:val="20"/>
          <w:lang w:val="ro-RO"/>
        </w:rPr>
      </w:pPr>
      <w:r w:rsidRPr="00584506">
        <w:rPr>
          <w:rFonts w:cs="Arial"/>
          <w:sz w:val="20"/>
          <w:szCs w:val="20"/>
          <w:lang w:val="ru-RU"/>
        </w:rPr>
        <w:t>Для уточнения возникших вопросов проект "Миграция и местное развитие" проведет 4 региональных информационных совещания:</w:t>
      </w:r>
    </w:p>
    <w:p w:rsidR="00584506" w:rsidRPr="00584506" w:rsidRDefault="00465D0E" w:rsidP="00584506">
      <w:pPr>
        <w:pStyle w:val="ListParagraph"/>
        <w:numPr>
          <w:ilvl w:val="0"/>
          <w:numId w:val="1"/>
        </w:numPr>
        <w:ind w:left="714" w:hanging="357"/>
        <w:contextualSpacing w:val="0"/>
        <w:jc w:val="both"/>
        <w:rPr>
          <w:rFonts w:ascii="Calibri" w:hAnsi="Calibri" w:cs="Arial"/>
          <w:sz w:val="20"/>
          <w:szCs w:val="20"/>
          <w:lang w:val="ro-MD"/>
        </w:rPr>
      </w:pPr>
      <w:r w:rsidRPr="00584506">
        <w:rPr>
          <w:rFonts w:ascii="Calibri" w:hAnsi="Calibri" w:cs="Arial"/>
          <w:sz w:val="20"/>
          <w:szCs w:val="20"/>
          <w:lang w:val="ru-RU"/>
        </w:rPr>
        <w:t>Для северного региона</w:t>
      </w:r>
    </w:p>
    <w:p w:rsidR="00584506" w:rsidRPr="00584506" w:rsidRDefault="00465D0E" w:rsidP="00584506">
      <w:pPr>
        <w:pStyle w:val="ListParagraph"/>
        <w:numPr>
          <w:ilvl w:val="0"/>
          <w:numId w:val="1"/>
        </w:numPr>
        <w:ind w:left="714" w:hanging="357"/>
        <w:contextualSpacing w:val="0"/>
        <w:jc w:val="both"/>
        <w:rPr>
          <w:rFonts w:ascii="Calibri" w:hAnsi="Calibri" w:cs="Arial"/>
          <w:sz w:val="20"/>
          <w:szCs w:val="20"/>
          <w:lang w:val="ro-MD"/>
        </w:rPr>
      </w:pPr>
      <w:r w:rsidRPr="00584506">
        <w:rPr>
          <w:rFonts w:ascii="Calibri" w:hAnsi="Calibri" w:cs="Arial"/>
          <w:sz w:val="20"/>
          <w:szCs w:val="20"/>
          <w:lang w:val="ru-RU"/>
        </w:rPr>
        <w:lastRenderedPageBreak/>
        <w:t xml:space="preserve">Для центрального региона </w:t>
      </w:r>
    </w:p>
    <w:p w:rsidR="00584506" w:rsidRPr="00584506" w:rsidRDefault="00465D0E" w:rsidP="00584506">
      <w:pPr>
        <w:pStyle w:val="ListParagraph"/>
        <w:numPr>
          <w:ilvl w:val="0"/>
          <w:numId w:val="1"/>
        </w:numPr>
        <w:ind w:left="714" w:hanging="357"/>
        <w:contextualSpacing w:val="0"/>
        <w:jc w:val="both"/>
        <w:rPr>
          <w:rFonts w:ascii="Calibri" w:hAnsi="Calibri" w:cs="Arial"/>
          <w:sz w:val="20"/>
          <w:szCs w:val="20"/>
          <w:lang w:val="ro-MD"/>
        </w:rPr>
      </w:pPr>
      <w:r w:rsidRPr="00584506">
        <w:rPr>
          <w:rFonts w:ascii="Calibri" w:hAnsi="Calibri" w:cs="Arial"/>
          <w:sz w:val="20"/>
          <w:szCs w:val="20"/>
          <w:lang w:val="ru-RU"/>
        </w:rPr>
        <w:t>Для южного региона</w:t>
      </w:r>
    </w:p>
    <w:p w:rsidR="00584506" w:rsidRPr="00584506" w:rsidRDefault="00465D0E" w:rsidP="00584506">
      <w:pPr>
        <w:pStyle w:val="ListParagraph"/>
        <w:numPr>
          <w:ilvl w:val="0"/>
          <w:numId w:val="1"/>
        </w:numPr>
        <w:ind w:left="714" w:hanging="357"/>
        <w:contextualSpacing w:val="0"/>
        <w:jc w:val="both"/>
        <w:rPr>
          <w:rFonts w:ascii="Calibri" w:hAnsi="Calibri" w:cs="Arial"/>
          <w:sz w:val="20"/>
          <w:szCs w:val="20"/>
          <w:lang w:val="ro-MD"/>
        </w:rPr>
      </w:pPr>
      <w:r w:rsidRPr="00584506">
        <w:rPr>
          <w:rFonts w:ascii="Calibri" w:hAnsi="Calibri" w:cs="Arial"/>
          <w:sz w:val="20"/>
          <w:szCs w:val="20"/>
          <w:lang w:val="ru-RU"/>
        </w:rPr>
        <w:t xml:space="preserve">Для АТО Гагаузия и </w:t>
      </w:r>
      <w:proofErr w:type="spellStart"/>
      <w:r w:rsidRPr="00584506">
        <w:rPr>
          <w:rFonts w:ascii="Calibri" w:hAnsi="Calibri" w:cs="Arial"/>
          <w:sz w:val="20"/>
          <w:szCs w:val="20"/>
          <w:lang w:val="ru-RU"/>
        </w:rPr>
        <w:t>Тараклийского</w:t>
      </w:r>
      <w:proofErr w:type="spellEnd"/>
      <w:r w:rsidRPr="00584506">
        <w:rPr>
          <w:rFonts w:ascii="Calibri" w:hAnsi="Calibri" w:cs="Arial"/>
          <w:sz w:val="20"/>
          <w:szCs w:val="20"/>
          <w:lang w:val="ru-RU"/>
        </w:rPr>
        <w:t xml:space="preserve"> района</w:t>
      </w:r>
    </w:p>
    <w:p w:rsidR="00584506" w:rsidRDefault="00192522" w:rsidP="00584506">
      <w:pPr>
        <w:spacing w:after="0" w:line="240" w:lineRule="auto"/>
        <w:jc w:val="both"/>
        <w:rPr>
          <w:rFonts w:ascii="Verdana" w:hAnsi="Verdana" w:cs="Arial"/>
          <w:sz w:val="20"/>
          <w:szCs w:val="20"/>
          <w:lang w:val="ro-RO"/>
        </w:rPr>
      </w:pPr>
    </w:p>
    <w:p w:rsidR="00584506" w:rsidRPr="00584506" w:rsidRDefault="00465D0E" w:rsidP="00584506">
      <w:pPr>
        <w:spacing w:after="0" w:line="240" w:lineRule="auto"/>
        <w:jc w:val="both"/>
        <w:rPr>
          <w:rFonts w:cs="Arial"/>
          <w:sz w:val="20"/>
          <w:szCs w:val="20"/>
          <w:lang w:val="ro-RO"/>
        </w:rPr>
      </w:pPr>
      <w:r w:rsidRPr="00584506">
        <w:rPr>
          <w:rFonts w:cs="Arial"/>
          <w:sz w:val="20"/>
          <w:szCs w:val="20"/>
          <w:lang w:val="ru-RU"/>
        </w:rPr>
        <w:t xml:space="preserve">Точное место, дата и время проведения семинаров будут объявлены дополнительно через Конгресс местных властей Молдовы. </w:t>
      </w:r>
    </w:p>
    <w:sectPr w:rsidR="00584506" w:rsidRPr="00584506" w:rsidSect="00D40818">
      <w:pgSz w:w="11906" w:h="16838"/>
      <w:pgMar w:top="709"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22" w:rsidRDefault="00192522">
      <w:pPr>
        <w:spacing w:after="0" w:line="240" w:lineRule="auto"/>
      </w:pPr>
      <w:r>
        <w:separator/>
      </w:r>
    </w:p>
  </w:endnote>
  <w:endnote w:type="continuationSeparator" w:id="0">
    <w:p w:rsidR="00192522" w:rsidRDefault="0019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22" w:rsidRDefault="00192522" w:rsidP="00B135AE">
      <w:pPr>
        <w:spacing w:after="0" w:line="240" w:lineRule="auto"/>
      </w:pPr>
      <w:r>
        <w:separator/>
      </w:r>
    </w:p>
  </w:footnote>
  <w:footnote w:type="continuationSeparator" w:id="0">
    <w:p w:rsidR="00192522" w:rsidRDefault="00192522" w:rsidP="00B135AE">
      <w:pPr>
        <w:spacing w:after="0" w:line="240" w:lineRule="auto"/>
      </w:pPr>
      <w:r>
        <w:continuationSeparator/>
      </w:r>
    </w:p>
  </w:footnote>
  <w:footnote w:id="1">
    <w:p w:rsidR="00B135AE" w:rsidRDefault="00465D0E" w:rsidP="00622812">
      <w:pPr>
        <w:pStyle w:val="FootnoteText"/>
        <w:rPr>
          <w:rFonts w:cs="Arial"/>
          <w:sz w:val="18"/>
          <w:szCs w:val="18"/>
          <w:lang w:val="ro-MD"/>
        </w:rPr>
      </w:pPr>
      <w:r>
        <w:rPr>
          <w:rStyle w:val="FootnoteReference"/>
        </w:rPr>
        <w:footnoteRef/>
      </w:r>
      <w:r w:rsidRPr="005D26C4">
        <w:rPr>
          <w:rFonts w:cs="Arial"/>
          <w:sz w:val="18"/>
          <w:szCs w:val="18"/>
          <w:lang w:val="ru-RU"/>
        </w:rPr>
        <w:t xml:space="preserve"> Населенные пункты с населением менее 4.000 жителей имеют право участвовать в конкурсе при условии подачи заявок в партнерстве с соседними населенными пунктами, с которыми ранее была создана Ассоциация </w:t>
      </w:r>
      <w:proofErr w:type="spellStart"/>
      <w:r w:rsidRPr="005D26C4">
        <w:rPr>
          <w:rFonts w:cs="Arial"/>
          <w:sz w:val="18"/>
          <w:szCs w:val="18"/>
          <w:lang w:val="ru-RU"/>
        </w:rPr>
        <w:t>межкомм</w:t>
      </w:r>
      <w:bookmarkStart w:id="1" w:name="_GoBack"/>
      <w:bookmarkEnd w:id="1"/>
      <w:r w:rsidRPr="005D26C4">
        <w:rPr>
          <w:rFonts w:cs="Arial"/>
          <w:sz w:val="18"/>
          <w:szCs w:val="18"/>
          <w:lang w:val="ru-RU"/>
        </w:rPr>
        <w:t>унитарного</w:t>
      </w:r>
      <w:proofErr w:type="spellEnd"/>
      <w:r w:rsidRPr="005D26C4">
        <w:rPr>
          <w:rFonts w:cs="Arial"/>
          <w:sz w:val="18"/>
          <w:szCs w:val="18"/>
          <w:lang w:val="ru-RU"/>
        </w:rPr>
        <w:t xml:space="preserve"> сотрудничества, а общая численность населения составит более 4.000 жителей. </w:t>
      </w:r>
    </w:p>
    <w:p w:rsidR="00B135AE" w:rsidRPr="00237403" w:rsidRDefault="00192522" w:rsidP="00B135AE">
      <w:pPr>
        <w:pStyle w:val="FootnoteText"/>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1AD82682">
      <w:start w:val="1"/>
      <w:numFmt w:val="bullet"/>
      <w:lvlText w:val=""/>
      <w:lvlJc w:val="left"/>
      <w:pPr>
        <w:ind w:left="720" w:hanging="360"/>
      </w:pPr>
      <w:rPr>
        <w:rFonts w:ascii="Wingdings" w:hAnsi="Wingdings" w:hint="default"/>
      </w:rPr>
    </w:lvl>
    <w:lvl w:ilvl="1" w:tplc="AB6A7AE8" w:tentative="1">
      <w:start w:val="1"/>
      <w:numFmt w:val="bullet"/>
      <w:lvlText w:val="o"/>
      <w:lvlJc w:val="left"/>
      <w:pPr>
        <w:ind w:left="1440" w:hanging="360"/>
      </w:pPr>
      <w:rPr>
        <w:rFonts w:ascii="Courier New" w:hAnsi="Courier New" w:cs="Courier New" w:hint="default"/>
      </w:rPr>
    </w:lvl>
    <w:lvl w:ilvl="2" w:tplc="772413BA" w:tentative="1">
      <w:start w:val="1"/>
      <w:numFmt w:val="bullet"/>
      <w:lvlText w:val=""/>
      <w:lvlJc w:val="left"/>
      <w:pPr>
        <w:ind w:left="2160" w:hanging="360"/>
      </w:pPr>
      <w:rPr>
        <w:rFonts w:ascii="Wingdings" w:hAnsi="Wingdings" w:hint="default"/>
      </w:rPr>
    </w:lvl>
    <w:lvl w:ilvl="3" w:tplc="3E56BBB2" w:tentative="1">
      <w:start w:val="1"/>
      <w:numFmt w:val="bullet"/>
      <w:lvlText w:val=""/>
      <w:lvlJc w:val="left"/>
      <w:pPr>
        <w:ind w:left="2880" w:hanging="360"/>
      </w:pPr>
      <w:rPr>
        <w:rFonts w:ascii="Symbol" w:hAnsi="Symbol" w:hint="default"/>
      </w:rPr>
    </w:lvl>
    <w:lvl w:ilvl="4" w:tplc="0A1C10AC" w:tentative="1">
      <w:start w:val="1"/>
      <w:numFmt w:val="bullet"/>
      <w:lvlText w:val="o"/>
      <w:lvlJc w:val="left"/>
      <w:pPr>
        <w:ind w:left="3600" w:hanging="360"/>
      </w:pPr>
      <w:rPr>
        <w:rFonts w:ascii="Courier New" w:hAnsi="Courier New" w:cs="Courier New" w:hint="default"/>
      </w:rPr>
    </w:lvl>
    <w:lvl w:ilvl="5" w:tplc="D38AD746" w:tentative="1">
      <w:start w:val="1"/>
      <w:numFmt w:val="bullet"/>
      <w:lvlText w:val=""/>
      <w:lvlJc w:val="left"/>
      <w:pPr>
        <w:ind w:left="4320" w:hanging="360"/>
      </w:pPr>
      <w:rPr>
        <w:rFonts w:ascii="Wingdings" w:hAnsi="Wingdings" w:hint="default"/>
      </w:rPr>
    </w:lvl>
    <w:lvl w:ilvl="6" w:tplc="1C820CFE" w:tentative="1">
      <w:start w:val="1"/>
      <w:numFmt w:val="bullet"/>
      <w:lvlText w:val=""/>
      <w:lvlJc w:val="left"/>
      <w:pPr>
        <w:ind w:left="5040" w:hanging="360"/>
      </w:pPr>
      <w:rPr>
        <w:rFonts w:ascii="Symbol" w:hAnsi="Symbol" w:hint="default"/>
      </w:rPr>
    </w:lvl>
    <w:lvl w:ilvl="7" w:tplc="BFA6D226" w:tentative="1">
      <w:start w:val="1"/>
      <w:numFmt w:val="bullet"/>
      <w:lvlText w:val="o"/>
      <w:lvlJc w:val="left"/>
      <w:pPr>
        <w:ind w:left="5760" w:hanging="360"/>
      </w:pPr>
      <w:rPr>
        <w:rFonts w:ascii="Courier New" w:hAnsi="Courier New" w:cs="Courier New" w:hint="default"/>
      </w:rPr>
    </w:lvl>
    <w:lvl w:ilvl="8" w:tplc="A0264570" w:tentative="1">
      <w:start w:val="1"/>
      <w:numFmt w:val="bullet"/>
      <w:lvlText w:val=""/>
      <w:lvlJc w:val="left"/>
      <w:pPr>
        <w:ind w:left="6480" w:hanging="360"/>
      </w:pPr>
      <w:rPr>
        <w:rFonts w:ascii="Wingdings" w:hAnsi="Wingdings" w:hint="default"/>
      </w:rPr>
    </w:lvl>
  </w:abstractNum>
  <w:abstractNum w:abstractNumId="2" w15:restartNumberingAfterBreak="0">
    <w:nsid w:val="672F34A2"/>
    <w:multiLevelType w:val="hybridMultilevel"/>
    <w:tmpl w:val="7E587672"/>
    <w:lvl w:ilvl="0" w:tplc="4C7480BE">
      <w:start w:val="1"/>
      <w:numFmt w:val="bullet"/>
      <w:lvlText w:val=""/>
      <w:lvlJc w:val="left"/>
      <w:pPr>
        <w:ind w:left="761" w:hanging="360"/>
      </w:pPr>
      <w:rPr>
        <w:rFonts w:ascii="Wingdings 2" w:hAnsi="Wingdings 2" w:hint="default"/>
        <w:color w:val="00B050"/>
      </w:rPr>
    </w:lvl>
    <w:lvl w:ilvl="1" w:tplc="8ABE25F2" w:tentative="1">
      <w:start w:val="1"/>
      <w:numFmt w:val="bullet"/>
      <w:lvlText w:val="o"/>
      <w:lvlJc w:val="left"/>
      <w:pPr>
        <w:ind w:left="1481" w:hanging="360"/>
      </w:pPr>
      <w:rPr>
        <w:rFonts w:ascii="Courier New" w:hAnsi="Courier New" w:cs="Courier New" w:hint="default"/>
      </w:rPr>
    </w:lvl>
    <w:lvl w:ilvl="2" w:tplc="3E12B0DE" w:tentative="1">
      <w:start w:val="1"/>
      <w:numFmt w:val="bullet"/>
      <w:lvlText w:val=""/>
      <w:lvlJc w:val="left"/>
      <w:pPr>
        <w:ind w:left="2201" w:hanging="360"/>
      </w:pPr>
      <w:rPr>
        <w:rFonts w:ascii="Wingdings" w:hAnsi="Wingdings" w:hint="default"/>
      </w:rPr>
    </w:lvl>
    <w:lvl w:ilvl="3" w:tplc="B30074BC" w:tentative="1">
      <w:start w:val="1"/>
      <w:numFmt w:val="bullet"/>
      <w:lvlText w:val=""/>
      <w:lvlJc w:val="left"/>
      <w:pPr>
        <w:ind w:left="2921" w:hanging="360"/>
      </w:pPr>
      <w:rPr>
        <w:rFonts w:ascii="Symbol" w:hAnsi="Symbol" w:hint="default"/>
      </w:rPr>
    </w:lvl>
    <w:lvl w:ilvl="4" w:tplc="D1B45E2C" w:tentative="1">
      <w:start w:val="1"/>
      <w:numFmt w:val="bullet"/>
      <w:lvlText w:val="o"/>
      <w:lvlJc w:val="left"/>
      <w:pPr>
        <w:ind w:left="3641" w:hanging="360"/>
      </w:pPr>
      <w:rPr>
        <w:rFonts w:ascii="Courier New" w:hAnsi="Courier New" w:cs="Courier New" w:hint="default"/>
      </w:rPr>
    </w:lvl>
    <w:lvl w:ilvl="5" w:tplc="254C35EA" w:tentative="1">
      <w:start w:val="1"/>
      <w:numFmt w:val="bullet"/>
      <w:lvlText w:val=""/>
      <w:lvlJc w:val="left"/>
      <w:pPr>
        <w:ind w:left="4361" w:hanging="360"/>
      </w:pPr>
      <w:rPr>
        <w:rFonts w:ascii="Wingdings" w:hAnsi="Wingdings" w:hint="default"/>
      </w:rPr>
    </w:lvl>
    <w:lvl w:ilvl="6" w:tplc="BF743D80" w:tentative="1">
      <w:start w:val="1"/>
      <w:numFmt w:val="bullet"/>
      <w:lvlText w:val=""/>
      <w:lvlJc w:val="left"/>
      <w:pPr>
        <w:ind w:left="5081" w:hanging="360"/>
      </w:pPr>
      <w:rPr>
        <w:rFonts w:ascii="Symbol" w:hAnsi="Symbol" w:hint="default"/>
      </w:rPr>
    </w:lvl>
    <w:lvl w:ilvl="7" w:tplc="DDE08E58" w:tentative="1">
      <w:start w:val="1"/>
      <w:numFmt w:val="bullet"/>
      <w:lvlText w:val="o"/>
      <w:lvlJc w:val="left"/>
      <w:pPr>
        <w:ind w:left="5801" w:hanging="360"/>
      </w:pPr>
      <w:rPr>
        <w:rFonts w:ascii="Courier New" w:hAnsi="Courier New" w:cs="Courier New" w:hint="default"/>
      </w:rPr>
    </w:lvl>
    <w:lvl w:ilvl="8" w:tplc="39CA5418" w:tentative="1">
      <w:start w:val="1"/>
      <w:numFmt w:val="bullet"/>
      <w:lvlText w:val=""/>
      <w:lvlJc w:val="left"/>
      <w:pPr>
        <w:ind w:left="65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1485"/>
    <w:rsid w:val="00192522"/>
    <w:rsid w:val="00237403"/>
    <w:rsid w:val="00361485"/>
    <w:rsid w:val="00465D0E"/>
    <w:rsid w:val="009A76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E410-CF7A-41E2-9B72-5B59D2CA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before="120"/>
        <w:ind w:left="714"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AE"/>
    <w:pPr>
      <w:spacing w:before="0" w:after="200" w:line="276" w:lineRule="auto"/>
      <w:ind w:left="0" w:firstLine="0"/>
      <w:jc w:val="left"/>
    </w:pPr>
    <w:rPr>
      <w:rFonts w:ascii="Calibri" w:eastAsia="Calibri" w:hAnsi="Calibri" w:cs="Times New Roman"/>
      <w:lang w:val="en-US" w:eastAsia="en-US"/>
    </w:rPr>
  </w:style>
  <w:style w:type="paragraph" w:styleId="Heading1">
    <w:name w:val="heading 1"/>
    <w:basedOn w:val="Normal"/>
    <w:next w:val="Normal"/>
    <w:link w:val="Heading1Char"/>
    <w:qFormat/>
    <w:rsid w:val="00B135AE"/>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B135AE"/>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B135AE"/>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B135AE"/>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B135AE"/>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B135AE"/>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B135AE"/>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B135AE"/>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B135AE"/>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AE"/>
    <w:rPr>
      <w:rFonts w:ascii="Calibri" w:eastAsia="MS Mincho" w:hAnsi="Calibri" w:cs="Times New Roman"/>
      <w:b/>
      <w:bCs/>
      <w:kern w:val="32"/>
      <w:sz w:val="32"/>
      <w:szCs w:val="32"/>
      <w:lang w:val="en-US" w:eastAsia="lv-LV"/>
    </w:rPr>
  </w:style>
  <w:style w:type="character" w:customStyle="1" w:styleId="Heading2Char">
    <w:name w:val="Heading 2 Char"/>
    <w:basedOn w:val="DefaultParagraphFont"/>
    <w:link w:val="Heading2"/>
    <w:rsid w:val="00B135AE"/>
    <w:rPr>
      <w:rFonts w:ascii="Calibri" w:eastAsia="MS Mincho" w:hAnsi="Calibri" w:cs="Times New Roman"/>
      <w:b/>
      <w:bCs/>
      <w:i/>
      <w:iCs/>
      <w:sz w:val="28"/>
      <w:szCs w:val="28"/>
      <w:lang w:val="en-US" w:eastAsia="lv-LV"/>
    </w:rPr>
  </w:style>
  <w:style w:type="character" w:customStyle="1" w:styleId="Heading3Char">
    <w:name w:val="Heading 3 Char"/>
    <w:basedOn w:val="DefaultParagraphFont"/>
    <w:link w:val="Heading3"/>
    <w:rsid w:val="00B135AE"/>
    <w:rPr>
      <w:rFonts w:ascii="Calibri" w:eastAsia="MS Mincho" w:hAnsi="Calibri" w:cs="Times New Roman"/>
      <w:b/>
      <w:bCs/>
      <w:color w:val="00B050"/>
      <w:sz w:val="24"/>
      <w:lang w:val="en-US" w:eastAsia="lv-LV"/>
    </w:rPr>
  </w:style>
  <w:style w:type="character" w:customStyle="1" w:styleId="Heading4Char">
    <w:name w:val="Heading 4 Char"/>
    <w:basedOn w:val="DefaultParagraphFont"/>
    <w:link w:val="Heading4"/>
    <w:rsid w:val="00B135AE"/>
    <w:rPr>
      <w:rFonts w:ascii="Cambria" w:eastAsia="MS Mincho" w:hAnsi="Cambria" w:cs="Times New Roman"/>
      <w:b/>
      <w:bCs/>
      <w:i/>
      <w:iCs/>
      <w:color w:val="4F81BD"/>
      <w:sz w:val="24"/>
      <w:szCs w:val="24"/>
      <w:lang w:val="en-US" w:eastAsia="lv-LV"/>
    </w:rPr>
  </w:style>
  <w:style w:type="character" w:customStyle="1" w:styleId="Heading5Char">
    <w:name w:val="Heading 5 Char"/>
    <w:basedOn w:val="DefaultParagraphFont"/>
    <w:link w:val="Heading5"/>
    <w:rsid w:val="00B135AE"/>
    <w:rPr>
      <w:rFonts w:ascii="Cambria" w:eastAsia="MS Mincho" w:hAnsi="Cambria" w:cs="Times New Roman"/>
      <w:color w:val="243F60"/>
      <w:sz w:val="24"/>
      <w:szCs w:val="24"/>
      <w:lang w:val="en-US" w:eastAsia="lv-LV"/>
    </w:rPr>
  </w:style>
  <w:style w:type="character" w:customStyle="1" w:styleId="Heading6Char">
    <w:name w:val="Heading 6 Char"/>
    <w:basedOn w:val="DefaultParagraphFont"/>
    <w:link w:val="Heading6"/>
    <w:rsid w:val="00B135AE"/>
    <w:rPr>
      <w:rFonts w:ascii="Cambria" w:eastAsia="MS Mincho" w:hAnsi="Cambria" w:cs="Times New Roman"/>
      <w:i/>
      <w:iCs/>
      <w:color w:val="243F60"/>
      <w:sz w:val="24"/>
      <w:szCs w:val="24"/>
      <w:lang w:val="en-US" w:eastAsia="lv-LV"/>
    </w:rPr>
  </w:style>
  <w:style w:type="character" w:customStyle="1" w:styleId="Heading7Char">
    <w:name w:val="Heading 7 Char"/>
    <w:basedOn w:val="DefaultParagraphFont"/>
    <w:link w:val="Heading7"/>
    <w:rsid w:val="00B135AE"/>
    <w:rPr>
      <w:rFonts w:ascii="Cambria" w:eastAsia="MS Mincho" w:hAnsi="Cambria" w:cs="Times New Roman"/>
      <w:i/>
      <w:iCs/>
      <w:color w:val="404040"/>
      <w:sz w:val="24"/>
      <w:szCs w:val="24"/>
      <w:lang w:val="en-US" w:eastAsia="lv-LV"/>
    </w:rPr>
  </w:style>
  <w:style w:type="character" w:customStyle="1" w:styleId="Heading8Char">
    <w:name w:val="Heading 8 Char"/>
    <w:basedOn w:val="DefaultParagraphFont"/>
    <w:link w:val="Heading8"/>
    <w:rsid w:val="00B135AE"/>
    <w:rPr>
      <w:rFonts w:ascii="Cambria" w:eastAsia="MS Mincho" w:hAnsi="Cambria" w:cs="Times New Roman"/>
      <w:color w:val="404040"/>
      <w:sz w:val="20"/>
      <w:szCs w:val="20"/>
      <w:lang w:val="en-US" w:eastAsia="lv-LV"/>
    </w:rPr>
  </w:style>
  <w:style w:type="character" w:customStyle="1" w:styleId="Heading9Char">
    <w:name w:val="Heading 9 Char"/>
    <w:basedOn w:val="DefaultParagraphFont"/>
    <w:link w:val="Heading9"/>
    <w:rsid w:val="00B135AE"/>
    <w:rPr>
      <w:rFonts w:ascii="Cambria" w:eastAsia="MS Mincho" w:hAnsi="Cambria" w:cs="Times New Roman"/>
      <w:i/>
      <w:iCs/>
      <w:color w:val="404040"/>
      <w:sz w:val="20"/>
      <w:szCs w:val="20"/>
      <w:lang w:val="en-US" w:eastAsia="lv-LV"/>
    </w:rPr>
  </w:style>
  <w:style w:type="table" w:styleId="TableGrid">
    <w:name w:val="Table Grid"/>
    <w:basedOn w:val="TableNormal"/>
    <w:uiPriority w:val="59"/>
    <w:rsid w:val="00B135AE"/>
    <w:pPr>
      <w:spacing w:before="0"/>
      <w:ind w:left="0" w:firstLine="0"/>
      <w:jc w:val="left"/>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35AE"/>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B135AE"/>
    <w:rPr>
      <w:color w:val="0000FF"/>
      <w:u w:val="single"/>
    </w:rPr>
  </w:style>
  <w:style w:type="paragraph" w:styleId="FootnoteText">
    <w:name w:val="footnote text"/>
    <w:basedOn w:val="Normal"/>
    <w:link w:val="FootnoteTextChar"/>
    <w:uiPriority w:val="99"/>
    <w:semiHidden/>
    <w:unhideWhenUsed/>
    <w:rsid w:val="00B1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AE"/>
    <w:rPr>
      <w:rFonts w:ascii="Calibri" w:eastAsia="Calibri" w:hAnsi="Calibri" w:cs="Times New Roman"/>
      <w:sz w:val="20"/>
      <w:szCs w:val="20"/>
      <w:lang w:val="en-US" w:eastAsia="en-US"/>
    </w:rPr>
  </w:style>
  <w:style w:type="character" w:styleId="FootnoteReference">
    <w:name w:val="footnote reference"/>
    <w:basedOn w:val="DefaultParagraphFont"/>
    <w:uiPriority w:val="99"/>
    <w:semiHidden/>
    <w:unhideWhenUsed/>
    <w:rsid w:val="00B135AE"/>
    <w:rPr>
      <w:vertAlign w:val="superscript"/>
    </w:rPr>
  </w:style>
  <w:style w:type="paragraph" w:styleId="BalloonText">
    <w:name w:val="Balloon Text"/>
    <w:basedOn w:val="Normal"/>
    <w:link w:val="BalloonTextChar"/>
    <w:uiPriority w:val="99"/>
    <w:semiHidden/>
    <w:unhideWhenUsed/>
    <w:rsid w:val="00B1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AE"/>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xana.maciuca@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enadie.ivascenco@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Oxana Maciuca</cp:lastModifiedBy>
  <cp:revision>21</cp:revision>
  <dcterms:created xsi:type="dcterms:W3CDTF">2019-03-15T09:58:00Z</dcterms:created>
  <dcterms:modified xsi:type="dcterms:W3CDTF">2019-03-25T13:21:00Z</dcterms:modified>
</cp:coreProperties>
</file>