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5C" w:rsidRDefault="00BB205C" w:rsidP="00BB205C">
      <w:pPr>
        <w:pStyle w:val="Caption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Annex 1</w:t>
      </w:r>
    </w:p>
    <w:p w:rsidR="00BB205C" w:rsidRPr="00733D39" w:rsidRDefault="00BB205C" w:rsidP="00BB205C">
      <w:pPr>
        <w:pStyle w:val="Caption"/>
        <w:rPr>
          <w:rFonts w:ascii="Calibri" w:hAnsi="Calibri" w:cs="Calibri"/>
          <w:caps/>
          <w:sz w:val="26"/>
          <w:szCs w:val="26"/>
        </w:rPr>
      </w:pPr>
      <w:r w:rsidRPr="00BB205C">
        <w:rPr>
          <w:rFonts w:ascii="Calibri" w:hAnsi="Calibri" w:cs="Calibri"/>
          <w:caps/>
          <w:sz w:val="26"/>
          <w:szCs w:val="26"/>
        </w:rPr>
        <w:t>Compliance with Requirements</w:t>
      </w:r>
      <w:r w:rsidRPr="00BB205C">
        <w:rPr>
          <w:rFonts w:ascii="Calibri" w:hAnsi="Calibri"/>
          <w:szCs w:val="22"/>
        </w:rPr>
        <w:t xml:space="preserve"> </w:t>
      </w:r>
      <w:r w:rsidRPr="00733D39">
        <w:rPr>
          <w:rFonts w:ascii="Calibri" w:hAnsi="Calibri" w:cs="Calibri"/>
          <w:caps/>
          <w:sz w:val="26"/>
          <w:szCs w:val="26"/>
        </w:rPr>
        <w:t>Form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4228AF" w:rsidRPr="00733D39" w:rsidRDefault="004228AF" w:rsidP="006A3A40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Date of the quotation:</w:t>
            </w:r>
          </w:p>
        </w:tc>
        <w:sdt>
          <w:sdtPr>
            <w:rPr>
              <w:rFonts w:cs="Calibri"/>
              <w:bCs/>
            </w:rPr>
            <w:id w:val="-1733144617"/>
            <w:placeholder>
              <w:docPart w:val="919B8AE9E9744EB38FF673B668FAA8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4228AF" w:rsidRPr="00733D39" w:rsidRDefault="004228AF" w:rsidP="006A3A40">
                <w:pPr>
                  <w:spacing w:after="0" w:line="240" w:lineRule="auto"/>
                  <w:jc w:val="center"/>
                  <w:rPr>
                    <w:rFonts w:cs="Calibri"/>
                    <w:bCs/>
                  </w:rPr>
                </w:pPr>
                <w:r w:rsidRPr="00733D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4228AF" w:rsidRPr="00C43EBD" w:rsidRDefault="004228AF" w:rsidP="006A3A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C1BAD">
              <w:rPr>
                <w:rFonts w:cs="Calibri"/>
                <w:b/>
              </w:rPr>
              <w:t>RFQ Nº UNFPA/MDA/RFQ/2019/003 – Lease of Project Office Premises</w:t>
            </w:r>
          </w:p>
        </w:tc>
      </w:tr>
    </w:tbl>
    <w:p w:rsidR="004228AF" w:rsidRDefault="004228AF"/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4961"/>
        <w:gridCol w:w="3559"/>
      </w:tblGrid>
      <w:tr w:rsidR="00BB205C" w:rsidRPr="00B671A7" w:rsidTr="004228AF">
        <w:trPr>
          <w:trHeight w:val="348"/>
          <w:jc w:val="center"/>
        </w:trPr>
        <w:tc>
          <w:tcPr>
            <w:tcW w:w="1403" w:type="dxa"/>
            <w:shd w:val="clear" w:color="auto" w:fill="9CC2E5"/>
            <w:vAlign w:val="center"/>
          </w:tcPr>
          <w:p w:rsidR="00BB205C" w:rsidRPr="00B671A7" w:rsidRDefault="00BB205C" w:rsidP="00BB205C">
            <w:pPr>
              <w:jc w:val="center"/>
              <w:rPr>
                <w:b/>
              </w:rPr>
            </w:pPr>
            <w:r w:rsidRPr="00B671A7">
              <w:rPr>
                <w:b/>
              </w:rPr>
              <w:t>Criteria</w:t>
            </w:r>
          </w:p>
        </w:tc>
        <w:tc>
          <w:tcPr>
            <w:tcW w:w="4961" w:type="dxa"/>
            <w:shd w:val="clear" w:color="auto" w:fill="9CC2E5"/>
            <w:vAlign w:val="center"/>
          </w:tcPr>
          <w:p w:rsidR="00BB205C" w:rsidRPr="00B671A7" w:rsidRDefault="00BB205C" w:rsidP="00BB205C">
            <w:pPr>
              <w:jc w:val="center"/>
              <w:rPr>
                <w:b/>
              </w:rPr>
            </w:pPr>
            <w:r w:rsidRPr="00B671A7">
              <w:rPr>
                <w:b/>
              </w:rPr>
              <w:t>General Criteria Description</w:t>
            </w:r>
          </w:p>
        </w:tc>
        <w:tc>
          <w:tcPr>
            <w:tcW w:w="3559" w:type="dxa"/>
            <w:shd w:val="clear" w:color="auto" w:fill="9CC2E5"/>
          </w:tcPr>
          <w:p w:rsidR="00BB205C" w:rsidRPr="00B671A7" w:rsidRDefault="00F4780E" w:rsidP="00BB205C">
            <w:pPr>
              <w:jc w:val="center"/>
              <w:rPr>
                <w:b/>
              </w:rPr>
            </w:pPr>
            <w:r>
              <w:rPr>
                <w:b/>
              </w:rPr>
              <w:t>Comprehensive description of the proposed office</w:t>
            </w: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Location: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The location of the office space to be leased must be strategically located within </w:t>
            </w:r>
            <w:r>
              <w:t>2-3</w:t>
            </w:r>
            <w:r w:rsidRPr="00B671A7">
              <w:t xml:space="preserve"> km radius from the UN House of Moldova (131, 31 August 1989 street, Chisinau).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Building: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Building shall be made of reinforced concrete, structural steel or combination of both.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>Premises should be ready to be occupied and in good conditions. Premises should be located in the buildings designed for offices / or on office floors of residential buildings or it may be a private house (no apartments).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Active area size / effective space: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autoSpaceDE w:val="0"/>
              <w:autoSpaceDN w:val="0"/>
              <w:adjustRightInd w:val="0"/>
              <w:jc w:val="both"/>
            </w:pPr>
            <w:r w:rsidRPr="00B671A7">
              <w:t xml:space="preserve">The total office space requirement should be </w:t>
            </w:r>
            <w:r w:rsidRPr="00B002EB">
              <w:t xml:space="preserve">at least eighty-five (85 </w:t>
            </w:r>
            <w:proofErr w:type="spellStart"/>
            <w:r w:rsidRPr="00B002EB">
              <w:t>sq.m</w:t>
            </w:r>
            <w:proofErr w:type="spellEnd"/>
            <w:r w:rsidRPr="00B002EB">
              <w:t xml:space="preserve">.) on the same floor and in the same area, with the possibility of subsequently deciding on </w:t>
            </w:r>
            <w:r>
              <w:t>space distribution and partition walls</w:t>
            </w:r>
            <w:r w:rsidRPr="00B002EB">
              <w:t xml:space="preserve">. </w:t>
            </w:r>
            <w:r w:rsidRPr="00B671A7">
              <w:t>Proposed space with larger area shall be accepted provided that the excess areas shall be given free</w:t>
            </w:r>
            <w:r>
              <w:t xml:space="preserve"> of charge</w:t>
            </w:r>
            <w:r w:rsidRPr="00B671A7">
              <w:t>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autoSpaceDE w:val="0"/>
              <w:autoSpaceDN w:val="0"/>
              <w:adjustRightInd w:val="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Lighting: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Daylight (sufficient number of windows to allow for natural light) and </w:t>
            </w:r>
            <w:r w:rsidRPr="00B002EB">
              <w:t>LED lamplight – green office.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Air conditioning: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Premises should have operational air conditioning and ventilation system.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Heating: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</w:pPr>
            <w:r w:rsidRPr="00B671A7">
              <w:t>Central heating and/or air conditioning system.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Telephone lines: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There should be provision for communication lines/system for at </w:t>
            </w:r>
            <w:r w:rsidRPr="00D340C2">
              <w:t>least 2 telephone lines with sufficient number of phone sockets for up to 5 p</w:t>
            </w:r>
            <w:r w:rsidRPr="00B671A7">
              <w:t>eople and with access to Public Telephone Network (PTN).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Internet connection: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Broad band internet connection should be available.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Water and sewerage system: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</w:pPr>
            <w:r w:rsidRPr="00B671A7">
              <w:t xml:space="preserve">Water and sewerage network must be in order and function </w:t>
            </w:r>
            <w:bookmarkStart w:id="0" w:name="_GoBack"/>
            <w:bookmarkEnd w:id="0"/>
            <w:r w:rsidRPr="00B671A7">
              <w:t>properly.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lastRenderedPageBreak/>
              <w:t>Number of sanitary rooms: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At least 2 sanitary rooms, with one to ensure accessibility for persons with disabilities.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Power supply: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Standard grounded electric lines (Type F “</w:t>
            </w:r>
            <w:proofErr w:type="spellStart"/>
            <w:r w:rsidRPr="00B671A7">
              <w:t>Schuko</w:t>
            </w:r>
            <w:proofErr w:type="spellEnd"/>
            <w:r w:rsidRPr="00B671A7">
              <w:t>”, 220 V), protected automatic switches, enough sockets to supply 5 workplaces. All electrical fixtures, convenience outlets, switches shall be in good working conditions.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>Preferably, the building to have a stand-by generator to keep the lights</w:t>
            </w:r>
            <w:r>
              <w:t xml:space="preserve"> and IT equipment </w:t>
            </w:r>
            <w:r w:rsidRPr="00B671A7">
              <w:t>operational despite of power failure. If there is no stand by generator available, then a UPS for emergency back</w:t>
            </w:r>
            <w:r>
              <w:t>-</w:t>
            </w:r>
            <w:r w:rsidRPr="00B671A7">
              <w:t>up system</w:t>
            </w:r>
            <w:r>
              <w:t xml:space="preserve"> is required</w:t>
            </w:r>
            <w:r w:rsidRPr="00B671A7">
              <w:t>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Elevator: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If the offered office is higher than the first floor, elevator in the building is required.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>Accessibility for persons with disabilities should be ensured through main entrance of the building and to offered offices.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Parking space: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The Lessor shall provide for free at least </w:t>
            </w:r>
            <w:r>
              <w:t>one</w:t>
            </w:r>
            <w:r w:rsidRPr="00B671A7">
              <w:t xml:space="preserve"> (</w:t>
            </w:r>
            <w:r>
              <w:t>one</w:t>
            </w:r>
            <w:r w:rsidRPr="00B671A7">
              <w:t xml:space="preserve">) parking slot for the exclusive use of the </w:t>
            </w:r>
            <w:r>
              <w:t xml:space="preserve">UNFPA official </w:t>
            </w:r>
            <w:r w:rsidRPr="00B671A7">
              <w:t xml:space="preserve">vehicle. To indicate availability of parking space for employees, partners and visitors of UNFPA </w:t>
            </w:r>
            <w:r>
              <w:t>Project</w:t>
            </w:r>
            <w:r w:rsidRPr="00B671A7">
              <w:t>. Parking slots under security surveillance shall be an advantage</w:t>
            </w:r>
            <w:r>
              <w:t>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shd w:val="clear" w:color="auto" w:fill="9CC2E5"/>
            <w:vAlign w:val="center"/>
          </w:tcPr>
          <w:p w:rsidR="00BB205C" w:rsidRPr="00B671A7" w:rsidRDefault="00BB205C" w:rsidP="00BB205C">
            <w:pPr>
              <w:jc w:val="center"/>
              <w:rPr>
                <w:b/>
              </w:rPr>
            </w:pPr>
            <w:r w:rsidRPr="00B671A7">
              <w:rPr>
                <w:b/>
              </w:rPr>
              <w:t>Criteria/Security</w:t>
            </w:r>
          </w:p>
        </w:tc>
        <w:tc>
          <w:tcPr>
            <w:tcW w:w="4961" w:type="dxa"/>
            <w:shd w:val="clear" w:color="auto" w:fill="9CC2E5"/>
            <w:vAlign w:val="center"/>
          </w:tcPr>
          <w:p w:rsidR="00BB205C" w:rsidRPr="00B671A7" w:rsidRDefault="00BB205C" w:rsidP="00BB205C">
            <w:pPr>
              <w:spacing w:after="60"/>
              <w:jc w:val="center"/>
              <w:rPr>
                <w:b/>
              </w:rPr>
            </w:pPr>
            <w:r w:rsidRPr="00B671A7">
              <w:rPr>
                <w:b/>
              </w:rPr>
              <w:t>Special Security Requirements</w:t>
            </w:r>
          </w:p>
        </w:tc>
        <w:tc>
          <w:tcPr>
            <w:tcW w:w="3559" w:type="dxa"/>
            <w:shd w:val="clear" w:color="auto" w:fill="9CC2E5"/>
          </w:tcPr>
          <w:p w:rsidR="00BB205C" w:rsidRPr="00B671A7" w:rsidRDefault="00BB205C" w:rsidP="00BB205C">
            <w:pPr>
              <w:spacing w:after="60"/>
              <w:jc w:val="center"/>
              <w:rPr>
                <w:b/>
              </w:rPr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Entrance door and emergency exit: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Solid entrance door and emergency exit door must be securely locked (preferably with code or electromagnetic locks).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>Availability of two exits; access to the emergency exit is required.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Security on windows and balcony: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Secure lock on windows and balcony doors (if there is a balcony in the office) is required; All windows will be fitted with Shatter resistance film. 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Space entry and basic security system:</w:t>
            </w:r>
          </w:p>
        </w:tc>
        <w:tc>
          <w:tcPr>
            <w:tcW w:w="4961" w:type="dxa"/>
            <w:vAlign w:val="center"/>
          </w:tcPr>
          <w:p w:rsidR="00BB205C" w:rsidRDefault="00BB205C" w:rsidP="00BB205C">
            <w:pPr>
              <w:spacing w:after="60"/>
              <w:jc w:val="both"/>
            </w:pPr>
            <w:r w:rsidRPr="00B671A7">
              <w:t>If the offered office is situated on the ground or the last floor at least one of the fo</w:t>
            </w:r>
            <w:r>
              <w:t xml:space="preserve">llowing conditions must be met: </w:t>
            </w:r>
          </w:p>
          <w:p w:rsidR="00BB205C" w:rsidRDefault="00BB205C" w:rsidP="00BB205C">
            <w:pPr>
              <w:spacing w:after="60"/>
              <w:jc w:val="both"/>
            </w:pPr>
            <w:r w:rsidRPr="00B671A7">
              <w:t xml:space="preserve">a) security alarm on windows; 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>b) 24-hours security.</w:t>
            </w:r>
          </w:p>
          <w:p w:rsidR="00BB205C" w:rsidRPr="00B671A7" w:rsidRDefault="00BB205C" w:rsidP="00BB205C">
            <w:pPr>
              <w:spacing w:after="60"/>
              <w:jc w:val="both"/>
            </w:pPr>
            <w:r w:rsidRPr="00B671A7">
              <w:t xml:space="preserve">If office is within a </w:t>
            </w:r>
            <w:r>
              <w:t>B</w:t>
            </w:r>
            <w:r w:rsidRPr="00B671A7">
              <w:t xml:space="preserve">usiness </w:t>
            </w:r>
            <w:r>
              <w:t>C</w:t>
            </w:r>
            <w:r w:rsidRPr="00B671A7">
              <w:t>enter – adequate security services to be provided.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t>Fire alarm system: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Should have fire safety alarm in operation. Should have fire extinguisher. All fire safety regulations will be adhered to.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  <w:tr w:rsidR="00BB205C" w:rsidRPr="00B671A7" w:rsidTr="004228AF">
        <w:trPr>
          <w:trHeight w:val="348"/>
          <w:jc w:val="center"/>
        </w:trPr>
        <w:tc>
          <w:tcPr>
            <w:tcW w:w="1403" w:type="dxa"/>
            <w:vAlign w:val="center"/>
          </w:tcPr>
          <w:p w:rsidR="00BB205C" w:rsidRPr="00B671A7" w:rsidRDefault="00BB205C" w:rsidP="00BB205C">
            <w:r w:rsidRPr="00B671A7">
              <w:lastRenderedPageBreak/>
              <w:t>Control access to the building:</w:t>
            </w:r>
          </w:p>
        </w:tc>
        <w:tc>
          <w:tcPr>
            <w:tcW w:w="4961" w:type="dxa"/>
            <w:vAlign w:val="center"/>
          </w:tcPr>
          <w:p w:rsidR="00BB205C" w:rsidRPr="00B671A7" w:rsidRDefault="00BB205C" w:rsidP="00BB205C">
            <w:pPr>
              <w:spacing w:after="60"/>
              <w:jc w:val="both"/>
            </w:pPr>
            <w:r w:rsidRPr="00B671A7">
              <w:t>Should have control access to the building for external public</w:t>
            </w:r>
            <w:r>
              <w:t>.</w:t>
            </w:r>
            <w:r w:rsidRPr="00B671A7">
              <w:t xml:space="preserve"> </w:t>
            </w:r>
            <w:r>
              <w:t>T</w:t>
            </w:r>
            <w:r w:rsidRPr="00B671A7">
              <w:t xml:space="preserve">he offer should explain/describe the security access to the building (levels of control, </w:t>
            </w:r>
            <w:r>
              <w:t>for ex.:</w:t>
            </w:r>
            <w:r w:rsidRPr="00B671A7">
              <w:t xml:space="preserve"> may pass freely, shall be stopped by the security and asked to confirm the visit, etc.);</w:t>
            </w:r>
          </w:p>
          <w:p w:rsidR="00BB205C" w:rsidRPr="00E21704" w:rsidRDefault="00BB205C" w:rsidP="00BB205C">
            <w:pPr>
              <w:spacing w:after="60"/>
              <w:jc w:val="both"/>
              <w:rPr>
                <w:b/>
                <w:i/>
              </w:rPr>
            </w:pPr>
            <w:r w:rsidRPr="00E21704">
              <w:rPr>
                <w:b/>
                <w:i/>
              </w:rPr>
              <w:t xml:space="preserve">Note: A detail security assessment will be conducted by the UNDSS and the report will be shared with the RSA/OSC UNFPA for approval. Based on the report, all recommendations will be implemented to be compliant with Security Risk Mitigating Measures. </w:t>
            </w:r>
          </w:p>
        </w:tc>
        <w:tc>
          <w:tcPr>
            <w:tcW w:w="3559" w:type="dxa"/>
          </w:tcPr>
          <w:p w:rsidR="00BB205C" w:rsidRPr="00B671A7" w:rsidRDefault="00BB205C" w:rsidP="00BB205C">
            <w:pPr>
              <w:spacing w:after="60"/>
              <w:jc w:val="both"/>
            </w:pPr>
          </w:p>
        </w:tc>
      </w:tr>
    </w:tbl>
    <w:p w:rsidR="00BB205C" w:rsidRDefault="00BB205C"/>
    <w:sectPr w:rsidR="00BB205C" w:rsidSect="00F4780E">
      <w:foot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BB" w:rsidRDefault="009606BB" w:rsidP="00F4780E">
      <w:pPr>
        <w:spacing w:after="0" w:line="240" w:lineRule="auto"/>
      </w:pPr>
      <w:r>
        <w:separator/>
      </w:r>
    </w:p>
  </w:endnote>
  <w:endnote w:type="continuationSeparator" w:id="0">
    <w:p w:rsidR="009606BB" w:rsidRDefault="009606BB" w:rsidP="00F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79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780E" w:rsidRDefault="00F4780E" w:rsidP="004228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8A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BB" w:rsidRDefault="009606BB" w:rsidP="00F4780E">
      <w:pPr>
        <w:spacing w:after="0" w:line="240" w:lineRule="auto"/>
      </w:pPr>
      <w:r>
        <w:separator/>
      </w:r>
    </w:p>
  </w:footnote>
  <w:footnote w:type="continuationSeparator" w:id="0">
    <w:p w:rsidR="009606BB" w:rsidRDefault="009606BB" w:rsidP="00F4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5C"/>
    <w:rsid w:val="001C3651"/>
    <w:rsid w:val="004228AF"/>
    <w:rsid w:val="006A2CE8"/>
    <w:rsid w:val="00727D09"/>
    <w:rsid w:val="009606BB"/>
    <w:rsid w:val="00BB205C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9285"/>
  <w15:chartTrackingRefBased/>
  <w15:docId w15:val="{AC8FD9A1-40DB-45A1-9C92-98C7279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2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0E"/>
  </w:style>
  <w:style w:type="paragraph" w:styleId="Footer">
    <w:name w:val="footer"/>
    <w:basedOn w:val="Normal"/>
    <w:link w:val="FooterChar"/>
    <w:uiPriority w:val="99"/>
    <w:unhideWhenUsed/>
    <w:rsid w:val="00F4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0E"/>
  </w:style>
  <w:style w:type="character" w:styleId="PlaceholderText">
    <w:name w:val="Placeholder Text"/>
    <w:uiPriority w:val="99"/>
    <w:semiHidden/>
    <w:rsid w:val="00422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B8AE9E9744EB38FF673B668FA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07C0-523C-45A8-A1B5-4314262B70AE}"/>
      </w:docPartPr>
      <w:docPartBody>
        <w:p w:rsidR="00000000" w:rsidRDefault="00F32528" w:rsidP="00F32528">
          <w:pPr>
            <w:pStyle w:val="919B8AE9E9744EB38FF673B668FAA812"/>
          </w:pPr>
          <w:r w:rsidRPr="00B151C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28"/>
    <w:rsid w:val="00863FEC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2528"/>
    <w:rPr>
      <w:color w:val="808080"/>
    </w:rPr>
  </w:style>
  <w:style w:type="paragraph" w:customStyle="1" w:styleId="919B8AE9E9744EB38FF673B668FAA812">
    <w:name w:val="919B8AE9E9744EB38FF673B668FAA812"/>
    <w:rsid w:val="00F32528"/>
  </w:style>
  <w:style w:type="paragraph" w:customStyle="1" w:styleId="025670DB205E424889675AFF702E6B2C">
    <w:name w:val="025670DB205E424889675AFF702E6B2C"/>
    <w:rsid w:val="00F32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Selaru</dc:creator>
  <cp:keywords/>
  <dc:description/>
  <cp:lastModifiedBy>Diana Selaru</cp:lastModifiedBy>
  <cp:revision>3</cp:revision>
  <dcterms:created xsi:type="dcterms:W3CDTF">2019-04-17T13:32:00Z</dcterms:created>
  <dcterms:modified xsi:type="dcterms:W3CDTF">2019-04-17T13:39:00Z</dcterms:modified>
</cp:coreProperties>
</file>