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A0" w:rsidRPr="009819A5" w:rsidRDefault="00C66FA0" w:rsidP="00C66FA0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:rsidR="00C66FA0" w:rsidRPr="009819A5" w:rsidRDefault="00C66FA0" w:rsidP="00C66FA0">
      <w:pPr>
        <w:rPr>
          <w:rFonts w:ascii="Calibri" w:hAnsi="Calibri" w:cs="Calibri"/>
          <w:sz w:val="28"/>
          <w:szCs w:val="28"/>
        </w:rPr>
      </w:pPr>
    </w:p>
    <w:p w:rsidR="00C66FA0" w:rsidRPr="009819A5" w:rsidRDefault="00C66FA0" w:rsidP="00C66FA0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C66FA0" w:rsidRPr="00E933A8" w:rsidRDefault="00C66FA0" w:rsidP="00C66FA0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C66FA0" w:rsidRPr="00E933A8" w:rsidRDefault="00C66FA0" w:rsidP="00C66FA0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C66FA0" w:rsidRPr="00E933A8" w:rsidRDefault="00C66FA0" w:rsidP="00C66FA0">
      <w:pPr>
        <w:jc w:val="center"/>
        <w:rPr>
          <w:rFonts w:ascii="Calibri" w:hAnsi="Calibri" w:cs="Calibri"/>
          <w:b/>
          <w:sz w:val="22"/>
          <w:szCs w:val="22"/>
        </w:rPr>
      </w:pPr>
    </w:p>
    <w:p w:rsidR="00C66FA0" w:rsidRDefault="00C66FA0" w:rsidP="00C66FA0">
      <w:pPr>
        <w:spacing w:before="120"/>
        <w:ind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Pr="00644497">
        <w:rPr>
          <w:rFonts w:ascii="Calibri" w:hAnsi="Calibri" w:cs="Calibri"/>
          <w:snapToGrid w:val="0"/>
          <w:sz w:val="22"/>
          <w:szCs w:val="22"/>
        </w:rPr>
        <w:t>19/01901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:rsidR="00C66FA0" w:rsidRDefault="00C66FA0" w:rsidP="00C66FA0">
      <w:pPr>
        <w:ind w:left="99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C66FA0" w:rsidRDefault="00C66FA0" w:rsidP="00C66FA0">
      <w:pPr>
        <w:ind w:left="99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C66FA0" w:rsidRPr="004F6969" w:rsidRDefault="00C66FA0" w:rsidP="00C66FA0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012"/>
        <w:gridCol w:w="1598"/>
      </w:tblGrid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012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</w:t>
            </w:r>
          </w:p>
        </w:tc>
        <w:tc>
          <w:tcPr>
            <w:tcW w:w="1598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(USD, VAT 0%)</w:t>
            </w: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78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Crew Van</w:t>
            </w:r>
          </w:p>
        </w:tc>
        <w:tc>
          <w:tcPr>
            <w:tcW w:w="108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2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4"/>
          </w:tcPr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2" w:type="dxa"/>
            <w:gridSpan w:val="4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2" w:type="dxa"/>
            <w:gridSpan w:val="4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2" w:type="dxa"/>
            <w:gridSpan w:val="4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C66FA0">
        <w:tc>
          <w:tcPr>
            <w:tcW w:w="1170" w:type="dxa"/>
          </w:tcPr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222" w:type="dxa"/>
            <w:gridSpan w:val="4"/>
          </w:tcPr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6FA0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Default="00C66FA0" w:rsidP="00C66FA0">
      <w:pPr>
        <w:ind w:left="99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napToGrid w:val="0"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Estimated Operating Costs (</w:t>
      </w:r>
      <w:r w:rsidRPr="00CE3271">
        <w:rPr>
          <w:rFonts w:ascii="Calibri" w:hAnsi="Calibri" w:cs="Calibri"/>
          <w:b/>
          <w:snapToGrid w:val="0"/>
          <w:sz w:val="22"/>
          <w:szCs w:val="22"/>
          <w:u w:val="single"/>
        </w:rPr>
        <w:t>consumables and spares, including their prices and details on local availability for the first 1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0</w:t>
      </w:r>
      <w:r w:rsidRPr="00CE3271">
        <w:rPr>
          <w:rFonts w:ascii="Calibri" w:hAnsi="Calibri" w:cs="Calibri"/>
          <w:b/>
          <w:snapToGrid w:val="0"/>
          <w:sz w:val="22"/>
          <w:szCs w:val="22"/>
          <w:u w:val="single"/>
        </w:rPr>
        <w:t>0,000 km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>)</w:t>
      </w:r>
    </w:p>
    <w:p w:rsidR="00C66FA0" w:rsidRPr="004F6969" w:rsidRDefault="00C66FA0" w:rsidP="00C66FA0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98"/>
        <w:gridCol w:w="1559"/>
        <w:gridCol w:w="1701"/>
        <w:gridCol w:w="1276"/>
        <w:gridCol w:w="1418"/>
      </w:tblGrid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</w:p>
        </w:tc>
        <w:tc>
          <w:tcPr>
            <w:tcW w:w="1298" w:type="dxa"/>
          </w:tcPr>
          <w:p w:rsidR="00C66FA0" w:rsidRPr="00400BCA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0BCA">
              <w:rPr>
                <w:rFonts w:ascii="Calibri" w:hAnsi="Calibri" w:cs="Calibri"/>
                <w:b/>
                <w:sz w:val="22"/>
                <w:szCs w:val="22"/>
              </w:rPr>
              <w:t>Mileage when service is required, km</w:t>
            </w:r>
          </w:p>
        </w:tc>
        <w:tc>
          <w:tcPr>
            <w:tcW w:w="1559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0BCA">
              <w:rPr>
                <w:rFonts w:ascii="Calibri" w:hAnsi="Calibri" w:cs="Calibri"/>
                <w:b/>
                <w:sz w:val="22"/>
                <w:szCs w:val="22"/>
              </w:rPr>
              <w:t>List of replacement parts required</w:t>
            </w:r>
          </w:p>
        </w:tc>
        <w:tc>
          <w:tcPr>
            <w:tcW w:w="1701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0BCA">
              <w:rPr>
                <w:rFonts w:ascii="Calibri" w:hAnsi="Calibri" w:cs="Calibri"/>
                <w:b/>
                <w:sz w:val="22"/>
                <w:szCs w:val="22"/>
              </w:rPr>
              <w:t>Cost of replacement parts, USD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(VAT 0%)</w:t>
            </w:r>
          </w:p>
        </w:tc>
        <w:tc>
          <w:tcPr>
            <w:tcW w:w="1276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0BCA">
              <w:rPr>
                <w:rFonts w:ascii="Calibri" w:hAnsi="Calibri" w:cs="Calibri"/>
                <w:b/>
                <w:sz w:val="22"/>
                <w:szCs w:val="22"/>
              </w:rPr>
              <w:t>Cost of related maintenance services, USD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(VAT 0%)</w:t>
            </w:r>
          </w:p>
        </w:tc>
        <w:tc>
          <w:tcPr>
            <w:tcW w:w="1418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 (VAT 0%)</w:t>
            </w: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Motor oil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Oil filter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Gearbox oil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Timing belt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Generator belt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Belt tensioner and pulleys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5F4638" w:rsidRDefault="00C66FA0" w:rsidP="00A57972">
            <w:pP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  <w:t>Spark plugs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5F4638" w:rsidRDefault="00C66FA0" w:rsidP="00A57972">
            <w:pP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  <w:t>Air filter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5F4638" w:rsidRDefault="00C66FA0" w:rsidP="00A57972">
            <w:pP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  <w:t>Salon filter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2700" w:type="dxa"/>
          </w:tcPr>
          <w:p w:rsidR="00C66FA0" w:rsidRPr="005F4638" w:rsidRDefault="00C66FA0" w:rsidP="00A57972">
            <w:pPr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</w:pPr>
            <w:r w:rsidRPr="00A6013B">
              <w:rPr>
                <w:rFonts w:asciiTheme="minorHAnsi" w:eastAsia="Calibri" w:hAnsiTheme="minorHAnsi" w:cstheme="minorHAnsi"/>
                <w:snapToGrid w:val="0"/>
                <w:color w:val="000000" w:themeColor="text1"/>
                <w:sz w:val="22"/>
                <w:szCs w:val="22"/>
              </w:rPr>
              <w:t>Brake pads</w:t>
            </w:r>
          </w:p>
        </w:tc>
        <w:tc>
          <w:tcPr>
            <w:tcW w:w="129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c>
          <w:tcPr>
            <w:tcW w:w="8534" w:type="dxa"/>
            <w:gridSpan w:val="5"/>
          </w:tcPr>
          <w:p w:rsidR="00C66FA0" w:rsidRPr="00BE1612" w:rsidRDefault="00C66FA0" w:rsidP="00A5797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E161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Total Cost</w:t>
            </w:r>
          </w:p>
        </w:tc>
        <w:tc>
          <w:tcPr>
            <w:tcW w:w="1418" w:type="dxa"/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Pr="00BE1612" w:rsidRDefault="00C66FA0" w:rsidP="00C66FA0">
      <w:pPr>
        <w:jc w:val="both"/>
        <w:rPr>
          <w:rFonts w:ascii="Calibri" w:hAnsi="Calibri" w:cs="Calibri"/>
          <w:sz w:val="22"/>
          <w:szCs w:val="22"/>
        </w:rPr>
      </w:pPr>
      <w:r w:rsidRPr="00BE1612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estimated operating</w:t>
      </w:r>
      <w:r w:rsidRPr="00BE1612">
        <w:rPr>
          <w:rFonts w:ascii="Calibri" w:hAnsi="Calibri" w:cs="Calibri"/>
          <w:sz w:val="22"/>
          <w:szCs w:val="22"/>
        </w:rPr>
        <w:t xml:space="preserve"> costs shall be quoted based on current prices at a local authorized service center and shall be </w:t>
      </w:r>
      <w:proofErr w:type="gramStart"/>
      <w:r w:rsidRPr="00BE1612">
        <w:rPr>
          <w:rFonts w:ascii="Calibri" w:hAnsi="Calibri" w:cs="Calibri"/>
          <w:sz w:val="22"/>
          <w:szCs w:val="22"/>
        </w:rPr>
        <w:t>taken into account</w:t>
      </w:r>
      <w:proofErr w:type="gramEnd"/>
      <w:r w:rsidRPr="00BE1612">
        <w:rPr>
          <w:rFonts w:ascii="Calibri" w:hAnsi="Calibri" w:cs="Calibri"/>
          <w:sz w:val="22"/>
          <w:szCs w:val="22"/>
        </w:rPr>
        <w:t xml:space="preserve"> by UNDP during the evaluation process to calculate the life cycle cost of the vehicle. These maintenance services shall not be contracted by UNDP at this stage. </w:t>
      </w:r>
    </w:p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Pr="00E933A8" w:rsidRDefault="00C66FA0" w:rsidP="00C66FA0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3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C66FA0" w:rsidRPr="00E933A8" w:rsidTr="00A57972">
        <w:trPr>
          <w:trHeight w:val="383"/>
        </w:trPr>
        <w:tc>
          <w:tcPr>
            <w:tcW w:w="4140" w:type="dxa"/>
            <w:vMerge w:val="restart"/>
          </w:tcPr>
          <w:p w:rsidR="00C66FA0" w:rsidRPr="00E933A8" w:rsidRDefault="00C66FA0" w:rsidP="00A5797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10" w:type="dxa"/>
            <w:gridSpan w:val="3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C66FA0" w:rsidRPr="00E933A8" w:rsidTr="00A57972">
        <w:trPr>
          <w:trHeight w:val="382"/>
        </w:trPr>
        <w:tc>
          <w:tcPr>
            <w:tcW w:w="4140" w:type="dxa"/>
            <w:vMerge/>
          </w:tcPr>
          <w:p w:rsidR="00C66FA0" w:rsidRPr="00E933A8" w:rsidRDefault="00C66FA0" w:rsidP="00A57972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:rsidR="00C66FA0" w:rsidRPr="00E933A8" w:rsidRDefault="00C66FA0" w:rsidP="00A5797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C66FA0" w:rsidRPr="00E933A8" w:rsidTr="00A57972">
        <w:trPr>
          <w:trHeight w:val="332"/>
        </w:trPr>
        <w:tc>
          <w:tcPr>
            <w:tcW w:w="4140" w:type="dxa"/>
            <w:tcBorders>
              <w:right w:val="nil"/>
            </w:tcBorders>
          </w:tcPr>
          <w:p w:rsidR="00C66FA0" w:rsidRPr="00E933A8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Maximum delivery period not to exceed 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120</w:t>
            </w:r>
            <w:r w:rsidRPr="003E02E0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calendar days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upon signature of PO/contract by both parties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575"/>
        </w:trPr>
        <w:tc>
          <w:tcPr>
            <w:tcW w:w="4140" w:type="dxa"/>
            <w:tcBorders>
              <w:right w:val="nil"/>
            </w:tcBorders>
          </w:tcPr>
          <w:p w:rsidR="00C66FA0" w:rsidRPr="004D3028" w:rsidRDefault="00C66FA0" w:rsidP="00A57972">
            <w:pPr>
              <w:pStyle w:val="NoSpacing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 xml:space="preserve">Warranty for a minimum period of 3 years or 100,000 km, whoever occurs first, which shall be active in case the following retrofitting works are done on the proposed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Crew</w:t>
            </w: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 xml:space="preserve"> Van: </w:t>
            </w:r>
          </w:p>
          <w:p w:rsidR="00C66FA0" w:rsidRPr="004D3028" w:rsidRDefault="00C66FA0" w:rsidP="00C66FA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 xml:space="preserve">Works on the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van</w:t>
            </w: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 xml:space="preserve"> body;</w:t>
            </w:r>
          </w:p>
          <w:p w:rsidR="00C66FA0" w:rsidRPr="004D3028" w:rsidRDefault="00C66FA0" w:rsidP="00C66FA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>Works to lead to weight increase of up to 1 tone;</w:t>
            </w:r>
          </w:p>
          <w:p w:rsidR="00C66FA0" w:rsidRPr="00C059A0" w:rsidRDefault="00C66FA0" w:rsidP="00C66FA0">
            <w:pPr>
              <w:pStyle w:val="NoSpacing"/>
              <w:numPr>
                <w:ilvl w:val="0"/>
                <w:numId w:val="1"/>
              </w:numPr>
              <w:jc w:val="both"/>
            </w:pP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>Installation of additional electrical/electronic equipment 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including</w:t>
            </w: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air conditioner inside the van, electrical </w:t>
            </w: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>peripheral</w:t>
            </w:r>
            <w:r w:rsidRPr="004D3028" w:rsidDel="004D302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equipment inside the van, optical and acoustical devices on the outside of the van etc.</w:t>
            </w:r>
            <w:r w:rsidRPr="004D3028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C66FA0" w:rsidRPr="00E933A8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</w:t>
            </w:r>
            <w:r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4"/>
            </w: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C66FA0" w:rsidRPr="00BA062A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BA062A">
              <w:rPr>
                <w:rFonts w:ascii="Calibri" w:hAnsi="Calibri" w:cs="Calibri"/>
                <w:bCs/>
                <w:sz w:val="22"/>
                <w:szCs w:val="22"/>
              </w:rPr>
              <w:t xml:space="preserve">Availability of certificates of quality and origin for the offered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Crew Van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:rsidR="00C66FA0" w:rsidRPr="006F5DB7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F043C">
              <w:rPr>
                <w:rFonts w:ascii="Calibri" w:hAnsi="Calibri" w:cs="Calibri"/>
                <w:bCs/>
                <w:sz w:val="22"/>
                <w:szCs w:val="22"/>
              </w:rPr>
              <w:t>Availability of authorized service in Moldova and comprehensiveness of after-sales 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C66FA0" w:rsidRPr="00E933A8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E02E0">
              <w:rPr>
                <w:rFonts w:ascii="Calibri" w:hAnsi="Calibri" w:cs="Calibri"/>
                <w:bCs/>
                <w:i/>
                <w:sz w:val="22"/>
                <w:szCs w:val="22"/>
              </w:rPr>
              <w:t>90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C66FA0" w:rsidRPr="00E933A8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Delivery on site shall be the responsibility of Supplier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6FA0" w:rsidRPr="00E933A8" w:rsidTr="00A57972">
        <w:trPr>
          <w:trHeight w:val="305"/>
        </w:trPr>
        <w:tc>
          <w:tcPr>
            <w:tcW w:w="4140" w:type="dxa"/>
            <w:tcBorders>
              <w:right w:val="nil"/>
            </w:tcBorders>
          </w:tcPr>
          <w:p w:rsidR="00C66FA0" w:rsidRPr="00E933A8" w:rsidRDefault="00C66FA0" w:rsidP="00A5797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A0" w:rsidRPr="00E933A8" w:rsidRDefault="00C66FA0" w:rsidP="00A5797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Pr="00E933A8" w:rsidRDefault="00C66FA0" w:rsidP="00C66FA0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Pr="00E933A8" w:rsidRDefault="00C66FA0" w:rsidP="00C66FA0">
      <w:pPr>
        <w:rPr>
          <w:rFonts w:ascii="Calibri" w:hAnsi="Calibri" w:cs="Calibri"/>
          <w:sz w:val="22"/>
          <w:szCs w:val="22"/>
        </w:rPr>
      </w:pPr>
    </w:p>
    <w:p w:rsidR="00C66FA0" w:rsidRPr="00E933A8" w:rsidRDefault="00C66FA0" w:rsidP="00C66FA0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C66FA0" w:rsidRPr="00E933A8" w:rsidRDefault="00C66FA0" w:rsidP="00C66FA0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C66FA0" w:rsidRDefault="00C66FA0" w:rsidP="00C66FA0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D15389" w:rsidRPr="00C66FA0" w:rsidRDefault="00F66D98" w:rsidP="00C66FA0">
      <w:bookmarkStart w:id="0" w:name="_GoBack"/>
      <w:bookmarkEnd w:id="0"/>
    </w:p>
    <w:sectPr w:rsidR="00D15389" w:rsidRPr="00C66FA0" w:rsidSect="00AB4449">
      <w:footerReference w:type="even" r:id="rId7"/>
      <w:footerReference w:type="default" r:id="rId8"/>
      <w:footerReference w:type="first" r:id="rId9"/>
      <w:pgSz w:w="11907" w:h="16840" w:code="9"/>
      <w:pgMar w:top="1134" w:right="1134" w:bottom="1134" w:left="1134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98" w:rsidRDefault="00F66D98" w:rsidP="00DD5231">
      <w:r>
        <w:separator/>
      </w:r>
    </w:p>
  </w:endnote>
  <w:endnote w:type="continuationSeparator" w:id="0">
    <w:p w:rsidR="00F66D98" w:rsidRDefault="00F66D98" w:rsidP="00DD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2A" w:rsidRDefault="00F66D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F2A" w:rsidRDefault="00F66D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2A" w:rsidRPr="00E30E5D" w:rsidRDefault="00F66D98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7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14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2A" w:rsidRDefault="00F66D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03EC2" wp14:editId="46B441B0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F2A" w:rsidRPr="00055F8E" w:rsidRDefault="00F66D98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:rsidR="00877F2A" w:rsidRPr="00055F8E" w:rsidRDefault="00F66D98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:rsidR="00877F2A" w:rsidRDefault="00F66D98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03E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:rsidR="00877F2A" w:rsidRPr="00055F8E" w:rsidRDefault="00F66D9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:rsidR="00877F2A" w:rsidRPr="00055F8E" w:rsidRDefault="00F66D9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:rsidR="00877F2A" w:rsidRDefault="00F66D98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98" w:rsidRDefault="00F66D98" w:rsidP="00DD5231">
      <w:r>
        <w:separator/>
      </w:r>
    </w:p>
  </w:footnote>
  <w:footnote w:type="continuationSeparator" w:id="0">
    <w:p w:rsidR="00F66D98" w:rsidRDefault="00F66D98" w:rsidP="00DD5231">
      <w:r>
        <w:continuationSeparator/>
      </w:r>
    </w:p>
  </w:footnote>
  <w:footnote w:id="1">
    <w:p w:rsidR="00C66FA0" w:rsidRPr="00BA0E6E" w:rsidRDefault="00C66FA0" w:rsidP="00C66FA0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C66FA0" w:rsidRPr="007E6019" w:rsidRDefault="00C66FA0" w:rsidP="00C66FA0">
      <w:pPr>
        <w:pStyle w:val="FootnoteText"/>
        <w:jc w:val="both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C66FA0" w:rsidRPr="0088197A" w:rsidRDefault="00C66FA0" w:rsidP="00C66FA0">
      <w:pPr>
        <w:pStyle w:val="FootnoteText"/>
        <w:jc w:val="both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  <w:footnote w:id="4">
    <w:p w:rsidR="00C66FA0" w:rsidRDefault="00C66FA0" w:rsidP="00C66F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8FA">
        <w:rPr>
          <w:i/>
        </w:rPr>
        <w:t>If the country of origin requires Export</w:t>
      </w:r>
      <w:r>
        <w:rPr>
          <w:i/>
        </w:rPr>
        <w:t xml:space="preserve"> License for the goods being procured, or other relevant documents that the country of destination may require, the supplier must submit them to UNDP if awarded the PO/contract.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2549"/>
    <w:multiLevelType w:val="hybridMultilevel"/>
    <w:tmpl w:val="F62EE2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31"/>
    <w:rsid w:val="008063BA"/>
    <w:rsid w:val="0088115D"/>
    <w:rsid w:val="00A96584"/>
    <w:rsid w:val="00C66FA0"/>
    <w:rsid w:val="00DD5231"/>
    <w:rsid w:val="00F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C322-568E-47B2-98DC-CCAF1A88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D5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D5231"/>
  </w:style>
  <w:style w:type="character" w:customStyle="1" w:styleId="FootnoteTextChar">
    <w:name w:val="Footnote Text Char"/>
    <w:basedOn w:val="DefaultParagraphFont"/>
    <w:link w:val="FootnoteText"/>
    <w:uiPriority w:val="99"/>
    <w:rsid w:val="00DD52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66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6F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66FA0"/>
  </w:style>
  <w:style w:type="paragraph" w:styleId="NoSpacing">
    <w:name w:val="No Spacing"/>
    <w:uiPriority w:val="1"/>
    <w:qFormat/>
    <w:rsid w:val="00C66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Cristina Gnaciuc</cp:lastModifiedBy>
  <cp:revision>2</cp:revision>
  <dcterms:created xsi:type="dcterms:W3CDTF">2019-04-08T13:46:00Z</dcterms:created>
  <dcterms:modified xsi:type="dcterms:W3CDTF">2019-04-24T21:13:00Z</dcterms:modified>
</cp:coreProperties>
</file>