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036732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2E4B92CA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AD40B8">
        <w:rPr>
          <w:rFonts w:ascii="Calibri" w:hAnsi="Calibri" w:cs="Calibri"/>
          <w:snapToGrid w:val="0"/>
          <w:sz w:val="22"/>
          <w:szCs w:val="22"/>
        </w:rPr>
        <w:t>RfQ19-01991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3893"/>
        <w:gridCol w:w="1080"/>
        <w:gridCol w:w="1350"/>
        <w:gridCol w:w="1170"/>
        <w:gridCol w:w="1440"/>
      </w:tblGrid>
      <w:tr w:rsidR="009819A5" w:rsidRPr="00E933A8" w14:paraId="137906BC" w14:textId="77777777" w:rsidTr="00486ABF">
        <w:tc>
          <w:tcPr>
            <w:tcW w:w="1057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893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486ABF">
        <w:tc>
          <w:tcPr>
            <w:tcW w:w="1057" w:type="dxa"/>
          </w:tcPr>
          <w:p w14:paraId="25040575" w14:textId="73587D80" w:rsidR="009819A5" w:rsidRPr="00E933A8" w:rsidRDefault="00486AB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 </w:t>
            </w:r>
            <w:r w:rsidR="002E23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14:paraId="265224F5" w14:textId="50EDA620" w:rsidR="009819A5" w:rsidRPr="00E933A8" w:rsidRDefault="00F02FFB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F02FFB">
              <w:rPr>
                <w:rFonts w:ascii="Calibri" w:hAnsi="Calibri" w:cs="Calibri"/>
                <w:sz w:val="22"/>
                <w:szCs w:val="22"/>
              </w:rPr>
              <w:t>Insulin pump for children easy-to-use with data connectivity</w:t>
            </w:r>
          </w:p>
        </w:tc>
        <w:tc>
          <w:tcPr>
            <w:tcW w:w="1080" w:type="dxa"/>
          </w:tcPr>
          <w:p w14:paraId="3860A179" w14:textId="293F4C3C" w:rsidR="009819A5" w:rsidRPr="00E933A8" w:rsidRDefault="000E07E5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C2DCA">
              <w:rPr>
                <w:rFonts w:ascii="Calibri" w:hAnsi="Calibri" w:cs="Calibri"/>
                <w:sz w:val="22"/>
                <w:szCs w:val="22"/>
              </w:rPr>
              <w:t>0</w:t>
            </w:r>
            <w:r w:rsidR="00B57447">
              <w:rPr>
                <w:rFonts w:ascii="Calibri" w:hAnsi="Calibri" w:cs="Calibri"/>
                <w:sz w:val="22"/>
                <w:szCs w:val="22"/>
              </w:rPr>
              <w:t xml:space="preserve"> units</w:t>
            </w:r>
          </w:p>
        </w:tc>
        <w:tc>
          <w:tcPr>
            <w:tcW w:w="1350" w:type="dxa"/>
          </w:tcPr>
          <w:p w14:paraId="6E1F69F5" w14:textId="71CB5919" w:rsidR="009819A5" w:rsidRPr="00E933A8" w:rsidRDefault="0071147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calendar days</w:t>
            </w: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486ABF">
        <w:tc>
          <w:tcPr>
            <w:tcW w:w="1057" w:type="dxa"/>
          </w:tcPr>
          <w:p w14:paraId="30B96E2F" w14:textId="3CA0426B" w:rsidR="009819A5" w:rsidRPr="00E933A8" w:rsidRDefault="00486AB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 </w:t>
            </w:r>
            <w:r w:rsidR="006723E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14:paraId="54C4DA63" w14:textId="409209E2" w:rsidR="009819A5" w:rsidRPr="00E933A8" w:rsidRDefault="00D17B3D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Consumables i</w:t>
            </w:r>
            <w:r w:rsidR="000E07E5">
              <w:rPr>
                <w:rFonts w:ascii="Calibri" w:hAnsi="Calibri" w:cs="Calibri"/>
                <w:sz w:val="22"/>
                <w:szCs w:val="22"/>
              </w:rPr>
              <w:t xml:space="preserve">nsulin pumps for children </w:t>
            </w:r>
          </w:p>
        </w:tc>
        <w:tc>
          <w:tcPr>
            <w:tcW w:w="1080" w:type="dxa"/>
          </w:tcPr>
          <w:p w14:paraId="1EFAF596" w14:textId="47BA3F39" w:rsidR="009819A5" w:rsidRPr="00E933A8" w:rsidRDefault="000E07E5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units</w:t>
            </w:r>
          </w:p>
        </w:tc>
        <w:tc>
          <w:tcPr>
            <w:tcW w:w="1350" w:type="dxa"/>
          </w:tcPr>
          <w:p w14:paraId="1CAC4B5E" w14:textId="712D2288" w:rsidR="009819A5" w:rsidRPr="00E933A8" w:rsidRDefault="000E07E5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calendar days</w:t>
            </w: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486ABF">
        <w:tc>
          <w:tcPr>
            <w:tcW w:w="1057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93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486ABF">
        <w:tc>
          <w:tcPr>
            <w:tcW w:w="105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9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486ABF">
        <w:tc>
          <w:tcPr>
            <w:tcW w:w="105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486ABF">
        <w:tc>
          <w:tcPr>
            <w:tcW w:w="105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486ABF">
        <w:tc>
          <w:tcPr>
            <w:tcW w:w="105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93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486ABF">
        <w:tc>
          <w:tcPr>
            <w:tcW w:w="105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9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389B6833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</w:t>
      </w:r>
      <w:r w:rsidR="002E231B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Estimated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Cost</w:t>
      </w:r>
      <w:r w:rsidR="00B57447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of consumables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699C29DE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List of Consumable Item/s</w:t>
            </w:r>
            <w:r w:rsidR="004E5EC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5E53A00B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  <w:r w:rsidR="00403CDA">
              <w:rPr>
                <w:rFonts w:ascii="Calibri" w:hAnsi="Calibri" w:cs="Calibri"/>
                <w:b/>
                <w:sz w:val="22"/>
                <w:szCs w:val="22"/>
              </w:rPr>
              <w:t>per year</w:t>
            </w:r>
            <w:r w:rsidR="00BC64B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3699E">
              <w:rPr>
                <w:rFonts w:ascii="Calibri" w:hAnsi="Calibri" w:cs="Calibri"/>
                <w:b/>
                <w:sz w:val="22"/>
                <w:szCs w:val="22"/>
              </w:rPr>
              <w:t>units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4EAA353B" w:rsidR="009819A5" w:rsidRPr="00E933A8" w:rsidRDefault="00D17B3D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list, if any</w:t>
            </w: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3D920B0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4A515A6D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5DB6D68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588A7251" w:rsidR="009819A5" w:rsidRPr="00E933A8" w:rsidRDefault="004E5EC5" w:rsidP="009819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120D7">
        <w:rPr>
          <w:rFonts w:ascii="Calibri" w:hAnsi="Calibri" w:cs="Calibri"/>
          <w:sz w:val="22"/>
          <w:szCs w:val="22"/>
        </w:rPr>
        <w:t xml:space="preserve">The cost of consumables in the Table 2 shall be provided for information purpose only. </w:t>
      </w:r>
      <w:r w:rsidR="001734F3">
        <w:rPr>
          <w:rFonts w:ascii="Calibri" w:hAnsi="Calibri" w:cs="Calibri"/>
          <w:sz w:val="22"/>
          <w:szCs w:val="22"/>
        </w:rPr>
        <w:t xml:space="preserve">It is required to estimate future </w:t>
      </w:r>
      <w:r w:rsidR="00B336DB">
        <w:rPr>
          <w:rFonts w:ascii="Calibri" w:hAnsi="Calibri" w:cs="Calibri"/>
          <w:sz w:val="22"/>
          <w:szCs w:val="22"/>
        </w:rPr>
        <w:t>requirements of consumables.</w:t>
      </w: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6429393C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 w:rsidR="004774AA">
              <w:rPr>
                <w:rFonts w:ascii="Calibri" w:hAnsi="Calibri" w:cs="Calibri"/>
                <w:bCs/>
                <w:sz w:val="22"/>
                <w:szCs w:val="22"/>
              </w:rPr>
              <w:t xml:space="preserve"> 30 calendar 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93FFBB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488E2D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832BA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DFD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63304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784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A89935" w14:textId="4AE19AA3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 w:rsidR="007364AF">
              <w:rPr>
                <w:rFonts w:ascii="Calibri" w:hAnsi="Calibri" w:cs="Calibri"/>
                <w:bCs/>
                <w:sz w:val="22"/>
                <w:szCs w:val="22"/>
              </w:rPr>
              <w:t>two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7364A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0A7E8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A455F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2873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48F3D83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D84A61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AA5E7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F7564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B4864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22194AE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379298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FFC06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56B4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70D17E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BCCD53C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0D51C31C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4B6D23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ABD8B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FA659B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53758410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4774AA">
              <w:rPr>
                <w:rFonts w:ascii="Calibri" w:hAnsi="Calibri" w:cs="Calibri"/>
                <w:bCs/>
                <w:sz w:val="22"/>
                <w:szCs w:val="22"/>
              </w:rPr>
              <w:t xml:space="preserve">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68C245FE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4F63" w14:textId="77777777" w:rsidR="001E0FE9" w:rsidRDefault="001E0FE9">
      <w:r>
        <w:separator/>
      </w:r>
    </w:p>
  </w:endnote>
  <w:endnote w:type="continuationSeparator" w:id="0">
    <w:p w14:paraId="63BC809B" w14:textId="77777777" w:rsidR="001E0FE9" w:rsidRDefault="001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1E0FE9" w:rsidRDefault="001E0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1E0FE9" w:rsidRDefault="001E0F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1E0FE9" w:rsidRPr="00E30E5D" w:rsidRDefault="001E0FE9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1E0FE9" w:rsidRDefault="001E0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1E0FE9" w:rsidRPr="00055F8E" w:rsidRDefault="001E0FE9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1E0FE9" w:rsidRPr="00055F8E" w:rsidRDefault="001E0FE9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1E0FE9" w:rsidRDefault="001E0FE9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1E0FE9" w:rsidRPr="00055F8E" w:rsidRDefault="001E0FE9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1E0FE9" w:rsidRPr="00055F8E" w:rsidRDefault="001E0FE9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1E0FE9" w:rsidRDefault="001E0FE9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393B" w14:textId="77777777" w:rsidR="001E0FE9" w:rsidRDefault="001E0FE9">
      <w:r>
        <w:separator/>
      </w:r>
    </w:p>
  </w:footnote>
  <w:footnote w:type="continuationSeparator" w:id="0">
    <w:p w14:paraId="059F6EB2" w14:textId="77777777" w:rsidR="001E0FE9" w:rsidRDefault="001E0FE9">
      <w:r>
        <w:continuationSeparator/>
      </w:r>
    </w:p>
  </w:footnote>
  <w:footnote w:id="1">
    <w:p w14:paraId="026F5849" w14:textId="77777777" w:rsidR="001E0FE9" w:rsidRPr="00BA0E6E" w:rsidRDefault="001E0FE9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1E0FE9" w:rsidRPr="007E6019" w:rsidRDefault="001E0FE9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1E0FE9" w:rsidRPr="0088197A" w:rsidRDefault="001E0FE9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1E0FE9" w:rsidRDefault="001E0FE9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210"/>
    <w:rsid w:val="00026D28"/>
    <w:rsid w:val="0003150A"/>
    <w:rsid w:val="00036732"/>
    <w:rsid w:val="0003699E"/>
    <w:rsid w:val="00041AEF"/>
    <w:rsid w:val="00042839"/>
    <w:rsid w:val="00046F7B"/>
    <w:rsid w:val="0005008E"/>
    <w:rsid w:val="000720D0"/>
    <w:rsid w:val="000B4F66"/>
    <w:rsid w:val="000B5B2A"/>
    <w:rsid w:val="000E07E5"/>
    <w:rsid w:val="000E3D44"/>
    <w:rsid w:val="000F17AB"/>
    <w:rsid w:val="000F1A37"/>
    <w:rsid w:val="000F1C7D"/>
    <w:rsid w:val="000F3FFB"/>
    <w:rsid w:val="000F680E"/>
    <w:rsid w:val="001006BE"/>
    <w:rsid w:val="0010077B"/>
    <w:rsid w:val="00102170"/>
    <w:rsid w:val="00103410"/>
    <w:rsid w:val="00106F3C"/>
    <w:rsid w:val="00115B9A"/>
    <w:rsid w:val="00143CCB"/>
    <w:rsid w:val="00170AD5"/>
    <w:rsid w:val="001729D1"/>
    <w:rsid w:val="001734F3"/>
    <w:rsid w:val="00190B58"/>
    <w:rsid w:val="0019525F"/>
    <w:rsid w:val="001B2854"/>
    <w:rsid w:val="001D12B2"/>
    <w:rsid w:val="001D2203"/>
    <w:rsid w:val="001D6B3E"/>
    <w:rsid w:val="001E0FE9"/>
    <w:rsid w:val="001F44BF"/>
    <w:rsid w:val="00202B87"/>
    <w:rsid w:val="00207B63"/>
    <w:rsid w:val="002120D7"/>
    <w:rsid w:val="002353AB"/>
    <w:rsid w:val="00247740"/>
    <w:rsid w:val="00291292"/>
    <w:rsid w:val="002A6CD7"/>
    <w:rsid w:val="002B5DFE"/>
    <w:rsid w:val="002C1F68"/>
    <w:rsid w:val="002C616B"/>
    <w:rsid w:val="002D2A9C"/>
    <w:rsid w:val="002E231B"/>
    <w:rsid w:val="002F3133"/>
    <w:rsid w:val="00322BC4"/>
    <w:rsid w:val="00322BFC"/>
    <w:rsid w:val="003255F3"/>
    <w:rsid w:val="00333E0B"/>
    <w:rsid w:val="0035298C"/>
    <w:rsid w:val="003542F0"/>
    <w:rsid w:val="003636DB"/>
    <w:rsid w:val="00366DB9"/>
    <w:rsid w:val="00375A7E"/>
    <w:rsid w:val="003A3FE7"/>
    <w:rsid w:val="003B169A"/>
    <w:rsid w:val="003D085F"/>
    <w:rsid w:val="003D2413"/>
    <w:rsid w:val="003E05C1"/>
    <w:rsid w:val="00403CDA"/>
    <w:rsid w:val="004177DD"/>
    <w:rsid w:val="00417A08"/>
    <w:rsid w:val="00433A66"/>
    <w:rsid w:val="004774AA"/>
    <w:rsid w:val="00482D98"/>
    <w:rsid w:val="00485E3F"/>
    <w:rsid w:val="00486ABF"/>
    <w:rsid w:val="004A766D"/>
    <w:rsid w:val="004A7C90"/>
    <w:rsid w:val="004C22BD"/>
    <w:rsid w:val="004E18A8"/>
    <w:rsid w:val="004E2A9D"/>
    <w:rsid w:val="004E5EC5"/>
    <w:rsid w:val="00515357"/>
    <w:rsid w:val="00516116"/>
    <w:rsid w:val="00527451"/>
    <w:rsid w:val="00546A35"/>
    <w:rsid w:val="005608EA"/>
    <w:rsid w:val="00564FD2"/>
    <w:rsid w:val="00582F5A"/>
    <w:rsid w:val="005B4F1B"/>
    <w:rsid w:val="005D1FB3"/>
    <w:rsid w:val="005D485E"/>
    <w:rsid w:val="005D4AD7"/>
    <w:rsid w:val="005F382D"/>
    <w:rsid w:val="00611802"/>
    <w:rsid w:val="006278A4"/>
    <w:rsid w:val="00627B74"/>
    <w:rsid w:val="00661962"/>
    <w:rsid w:val="006723E5"/>
    <w:rsid w:val="0067756D"/>
    <w:rsid w:val="00690647"/>
    <w:rsid w:val="00695C76"/>
    <w:rsid w:val="006A3B25"/>
    <w:rsid w:val="006B201C"/>
    <w:rsid w:val="006D5936"/>
    <w:rsid w:val="006E1749"/>
    <w:rsid w:val="006E3ADA"/>
    <w:rsid w:val="006F5558"/>
    <w:rsid w:val="007000F0"/>
    <w:rsid w:val="00710E36"/>
    <w:rsid w:val="0071147E"/>
    <w:rsid w:val="0072308B"/>
    <w:rsid w:val="007252C4"/>
    <w:rsid w:val="00725F6C"/>
    <w:rsid w:val="00730E66"/>
    <w:rsid w:val="007336FA"/>
    <w:rsid w:val="007364AF"/>
    <w:rsid w:val="007500F8"/>
    <w:rsid w:val="007528AD"/>
    <w:rsid w:val="007639F9"/>
    <w:rsid w:val="0076461B"/>
    <w:rsid w:val="007726DC"/>
    <w:rsid w:val="00776CEB"/>
    <w:rsid w:val="007A1880"/>
    <w:rsid w:val="007A6E9E"/>
    <w:rsid w:val="007D6177"/>
    <w:rsid w:val="007F52F8"/>
    <w:rsid w:val="00802288"/>
    <w:rsid w:val="00802D8B"/>
    <w:rsid w:val="008105C2"/>
    <w:rsid w:val="0084123E"/>
    <w:rsid w:val="00850C75"/>
    <w:rsid w:val="00855634"/>
    <w:rsid w:val="00863DEE"/>
    <w:rsid w:val="00881191"/>
    <w:rsid w:val="00881373"/>
    <w:rsid w:val="008A3A41"/>
    <w:rsid w:val="008B33D0"/>
    <w:rsid w:val="008C2F60"/>
    <w:rsid w:val="008C6BF7"/>
    <w:rsid w:val="008D6FEE"/>
    <w:rsid w:val="008F71AF"/>
    <w:rsid w:val="00904B14"/>
    <w:rsid w:val="00917F4F"/>
    <w:rsid w:val="00920ED4"/>
    <w:rsid w:val="00926069"/>
    <w:rsid w:val="00926558"/>
    <w:rsid w:val="00957E2D"/>
    <w:rsid w:val="00962CA2"/>
    <w:rsid w:val="0096696D"/>
    <w:rsid w:val="00973FC8"/>
    <w:rsid w:val="009819A5"/>
    <w:rsid w:val="009919C6"/>
    <w:rsid w:val="009A1531"/>
    <w:rsid w:val="009B54B9"/>
    <w:rsid w:val="009B748A"/>
    <w:rsid w:val="009D0E1E"/>
    <w:rsid w:val="009E026E"/>
    <w:rsid w:val="009F2809"/>
    <w:rsid w:val="00A11DE1"/>
    <w:rsid w:val="00A1230C"/>
    <w:rsid w:val="00A304E5"/>
    <w:rsid w:val="00A91691"/>
    <w:rsid w:val="00AD40B8"/>
    <w:rsid w:val="00AF413F"/>
    <w:rsid w:val="00B07700"/>
    <w:rsid w:val="00B13AC0"/>
    <w:rsid w:val="00B31920"/>
    <w:rsid w:val="00B32E94"/>
    <w:rsid w:val="00B336DB"/>
    <w:rsid w:val="00B44A40"/>
    <w:rsid w:val="00B57447"/>
    <w:rsid w:val="00B70AE0"/>
    <w:rsid w:val="00B81CB2"/>
    <w:rsid w:val="00B9167F"/>
    <w:rsid w:val="00B96A9C"/>
    <w:rsid w:val="00BA65CB"/>
    <w:rsid w:val="00BC2DCA"/>
    <w:rsid w:val="00BC36B2"/>
    <w:rsid w:val="00BC64BC"/>
    <w:rsid w:val="00BD387D"/>
    <w:rsid w:val="00BE3448"/>
    <w:rsid w:val="00BE6A46"/>
    <w:rsid w:val="00C02885"/>
    <w:rsid w:val="00C15080"/>
    <w:rsid w:val="00C442BC"/>
    <w:rsid w:val="00C523AB"/>
    <w:rsid w:val="00C631BD"/>
    <w:rsid w:val="00C6461F"/>
    <w:rsid w:val="00C71F5A"/>
    <w:rsid w:val="00C76ED8"/>
    <w:rsid w:val="00C808E7"/>
    <w:rsid w:val="00C94E07"/>
    <w:rsid w:val="00CA18F3"/>
    <w:rsid w:val="00CA3DA4"/>
    <w:rsid w:val="00CA4B1D"/>
    <w:rsid w:val="00CB08F3"/>
    <w:rsid w:val="00CC2EA3"/>
    <w:rsid w:val="00CC53FD"/>
    <w:rsid w:val="00CC550E"/>
    <w:rsid w:val="00CD7686"/>
    <w:rsid w:val="00CE48C1"/>
    <w:rsid w:val="00CE6D8F"/>
    <w:rsid w:val="00CE78C4"/>
    <w:rsid w:val="00D17B3D"/>
    <w:rsid w:val="00D26E56"/>
    <w:rsid w:val="00D37D7F"/>
    <w:rsid w:val="00D46CB5"/>
    <w:rsid w:val="00D66133"/>
    <w:rsid w:val="00D7288B"/>
    <w:rsid w:val="00D92109"/>
    <w:rsid w:val="00DA4FFF"/>
    <w:rsid w:val="00DC3B54"/>
    <w:rsid w:val="00DD1D61"/>
    <w:rsid w:val="00DE17A9"/>
    <w:rsid w:val="00DE2340"/>
    <w:rsid w:val="00DF4F4E"/>
    <w:rsid w:val="00E0557B"/>
    <w:rsid w:val="00E07B74"/>
    <w:rsid w:val="00E1278E"/>
    <w:rsid w:val="00E14BC6"/>
    <w:rsid w:val="00E17346"/>
    <w:rsid w:val="00E24594"/>
    <w:rsid w:val="00E25B59"/>
    <w:rsid w:val="00E30E5D"/>
    <w:rsid w:val="00E446AD"/>
    <w:rsid w:val="00E52C45"/>
    <w:rsid w:val="00E55F80"/>
    <w:rsid w:val="00E570C3"/>
    <w:rsid w:val="00E81F5C"/>
    <w:rsid w:val="00E83FA5"/>
    <w:rsid w:val="00EA6E08"/>
    <w:rsid w:val="00EC1481"/>
    <w:rsid w:val="00EC28DF"/>
    <w:rsid w:val="00EC53AE"/>
    <w:rsid w:val="00ED133B"/>
    <w:rsid w:val="00EE231A"/>
    <w:rsid w:val="00EE3459"/>
    <w:rsid w:val="00EE4C3A"/>
    <w:rsid w:val="00EF1A6E"/>
    <w:rsid w:val="00EF373F"/>
    <w:rsid w:val="00EF4FA8"/>
    <w:rsid w:val="00F023BB"/>
    <w:rsid w:val="00F02FFB"/>
    <w:rsid w:val="00F4384A"/>
    <w:rsid w:val="00F53BEC"/>
    <w:rsid w:val="00F545B7"/>
    <w:rsid w:val="00F55FD3"/>
    <w:rsid w:val="00F574B5"/>
    <w:rsid w:val="00F647E5"/>
    <w:rsid w:val="00F67875"/>
    <w:rsid w:val="00F75B3E"/>
    <w:rsid w:val="00F75BD7"/>
    <w:rsid w:val="00F92173"/>
    <w:rsid w:val="00F951F6"/>
    <w:rsid w:val="00F969AB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04E5"/>
    <w:rPr>
      <w:kern w:val="28"/>
      <w:sz w:val="22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BA65CB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D1D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D61"/>
  </w:style>
  <w:style w:type="character" w:customStyle="1" w:styleId="CommentTextChar">
    <w:name w:val="Comment Text Char"/>
    <w:basedOn w:val="DefaultParagraphFont"/>
    <w:link w:val="CommentText"/>
    <w:semiHidden/>
    <w:rsid w:val="00DD1D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openxmlformats.org/package/2006/metadata/core-properties"/>
    <ds:schemaRef ds:uri="2c6c70a2-c5e4-481b-a272-21e4970279b4"/>
    <ds:schemaRef ds:uri="http://schemas.microsoft.com/office/2006/documentManagement/types"/>
    <ds:schemaRef ds:uri="http://schemas.microsoft.com/sharepoint/v3/fields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1ed4137b-41b2-488b-8250-6d369ec27664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2260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Tatiana Panfil</cp:lastModifiedBy>
  <cp:revision>3</cp:revision>
  <cp:lastPrinted>2019-11-01T08:36:00Z</cp:lastPrinted>
  <dcterms:created xsi:type="dcterms:W3CDTF">2019-11-01T08:53:00Z</dcterms:created>
  <dcterms:modified xsi:type="dcterms:W3CDTF">2019-11-01T12:13:00Z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0x010100F075C04BA242A84ABD3293E3AD35CDA40088BB1648A505FE4B931ACE48FA27975F</vt:lpwstr>
  </property>
  <property fmtid="{D5CDD505-2E9C-101B-9397-08002B2CF9AE}" pid="8" name="_dlc_DocIdItemGuid">
    <vt:lpwstr>15a3365b-59f8-4031-a91a-e385f46d7f77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