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C84C" w14:textId="77777777" w:rsidR="003820B9" w:rsidRPr="00375DA6" w:rsidRDefault="003820B9" w:rsidP="003820B9">
      <w:pPr>
        <w:spacing w:line="240" w:lineRule="auto"/>
        <w:jc w:val="center"/>
        <w:rPr>
          <w:b/>
          <w:bCs/>
          <w:lang w:val="en-CA" w:eastAsia="x-none"/>
        </w:rPr>
      </w:pPr>
      <w:r w:rsidRPr="00760BC8">
        <w:rPr>
          <w:b/>
          <w:bCs/>
        </w:rPr>
        <w:t>Annex I:</w:t>
      </w:r>
      <w:r>
        <w:t xml:space="preserve"> </w:t>
      </w:r>
      <w:r w:rsidRPr="00375DA6">
        <w:rPr>
          <w:b/>
          <w:bCs/>
          <w:lang w:val="en-CA" w:eastAsia="x-none"/>
        </w:rPr>
        <w:t>Application Process</w:t>
      </w:r>
    </w:p>
    <w:p w14:paraId="29FDDBDC" w14:textId="77777777" w:rsidR="003820B9" w:rsidRPr="00375DA6" w:rsidRDefault="003820B9" w:rsidP="003820B9">
      <w:pPr>
        <w:spacing w:line="240" w:lineRule="auto"/>
        <w:rPr>
          <w:lang w:val="en-CA" w:eastAsia="x-none"/>
        </w:rPr>
      </w:pPr>
      <w:r w:rsidRPr="00375DA6">
        <w:rPr>
          <w:lang w:val="en-CA" w:eastAsia="x-none"/>
        </w:rPr>
        <w:t>The application should include:</w:t>
      </w:r>
    </w:p>
    <w:p w14:paraId="0AE84F02" w14:textId="77777777" w:rsidR="003820B9" w:rsidRPr="00375DA6" w:rsidRDefault="003820B9" w:rsidP="003820B9">
      <w:pPr>
        <w:spacing w:line="240" w:lineRule="auto"/>
        <w:rPr>
          <w:lang w:val="en-CA" w:eastAsia="x-none"/>
        </w:rPr>
      </w:pPr>
      <w:r w:rsidRPr="00375DA6">
        <w:rPr>
          <w:lang w:val="en-CA" w:eastAsia="x-none"/>
        </w:rPr>
        <w:t>•</w:t>
      </w:r>
      <w:r w:rsidRPr="00375DA6">
        <w:rPr>
          <w:lang w:val="en-CA" w:eastAsia="x-none"/>
        </w:rPr>
        <w:tab/>
        <w:t xml:space="preserve">Personal History Form (P-11 form) - including past experience in similar assignments; can be downloaded at http://www.unwomen.org/about-us/employment, a signed copy should be </w:t>
      </w:r>
      <w:proofErr w:type="gramStart"/>
      <w:r w:rsidRPr="00375DA6">
        <w:rPr>
          <w:lang w:val="en-CA" w:eastAsia="x-none"/>
        </w:rPr>
        <w:t>submitted;</w:t>
      </w:r>
      <w:proofErr w:type="gramEnd"/>
    </w:p>
    <w:p w14:paraId="0D2BA92A" w14:textId="77777777" w:rsidR="003820B9" w:rsidRPr="00375DA6" w:rsidRDefault="003820B9" w:rsidP="003820B9">
      <w:pPr>
        <w:spacing w:line="240" w:lineRule="auto"/>
        <w:rPr>
          <w:lang w:val="en-CA" w:eastAsia="x-none"/>
        </w:rPr>
      </w:pPr>
      <w:r w:rsidRPr="00375DA6">
        <w:rPr>
          <w:lang w:val="en-CA" w:eastAsia="x-none"/>
        </w:rPr>
        <w:t>•</w:t>
      </w:r>
      <w:r w:rsidRPr="00375DA6">
        <w:rPr>
          <w:lang w:val="en-CA" w:eastAsia="x-none"/>
        </w:rPr>
        <w:tab/>
        <w:t xml:space="preserve">Letter of Intent to include a brief overview about which of your previous experiences makes you the most suitable candidate for the advertised position. </w:t>
      </w:r>
    </w:p>
    <w:p w14:paraId="5F0574E4" w14:textId="77777777" w:rsidR="003820B9" w:rsidRPr="00375DA6" w:rsidRDefault="003820B9" w:rsidP="003820B9">
      <w:pPr>
        <w:spacing w:line="240" w:lineRule="auto"/>
        <w:rPr>
          <w:lang w:val="en-CA" w:eastAsia="x-none"/>
        </w:rPr>
      </w:pPr>
      <w:r w:rsidRPr="00375DA6">
        <w:rPr>
          <w:lang w:val="en-CA" w:eastAsia="x-none"/>
        </w:rPr>
        <w:t>•</w:t>
      </w:r>
      <w:r w:rsidRPr="00375DA6">
        <w:rPr>
          <w:lang w:val="en-CA" w:eastAsia="x-none"/>
        </w:rPr>
        <w:tab/>
        <w:t>Minimum two examples of analytical</w:t>
      </w:r>
      <w:r>
        <w:rPr>
          <w:lang w:val="en-CA" w:eastAsia="x-none"/>
        </w:rPr>
        <w:t>/</w:t>
      </w:r>
      <w:proofErr w:type="gramStart"/>
      <w:r>
        <w:rPr>
          <w:lang w:val="en-CA" w:eastAsia="x-none"/>
        </w:rPr>
        <w:t xml:space="preserve">monitoring </w:t>
      </w:r>
      <w:r w:rsidRPr="00375DA6">
        <w:rPr>
          <w:lang w:val="en-CA" w:eastAsia="x-none"/>
        </w:rPr>
        <w:t xml:space="preserve"> work</w:t>
      </w:r>
      <w:proofErr w:type="gramEnd"/>
      <w:r w:rsidRPr="00375DA6">
        <w:rPr>
          <w:lang w:val="en-CA" w:eastAsia="x-none"/>
        </w:rPr>
        <w:t xml:space="preserve"> to be provided. </w:t>
      </w:r>
    </w:p>
    <w:p w14:paraId="6F62375A" w14:textId="77777777" w:rsidR="003820B9" w:rsidRDefault="003820B9" w:rsidP="003820B9">
      <w:pPr>
        <w:spacing w:line="240" w:lineRule="auto"/>
        <w:rPr>
          <w:lang w:val="en-CA" w:eastAsia="x-none"/>
        </w:rPr>
      </w:pPr>
      <w:r w:rsidRPr="00375DA6">
        <w:rPr>
          <w:lang w:val="en-CA" w:eastAsia="x-none"/>
        </w:rPr>
        <w:t>•</w:t>
      </w:r>
      <w:r w:rsidRPr="00375DA6">
        <w:rPr>
          <w:lang w:val="en-CA" w:eastAsia="x-none"/>
        </w:rPr>
        <w:tab/>
        <w:t>Financial Proposal</w:t>
      </w:r>
      <w:r>
        <w:rPr>
          <w:lang w:val="en-CA" w:eastAsia="x-none"/>
        </w:rPr>
        <w:t xml:space="preserve"> (USD/MDL)</w:t>
      </w:r>
      <w:r w:rsidRPr="00375DA6">
        <w:rPr>
          <w:lang w:val="en-CA" w:eastAsia="x-none"/>
        </w:rPr>
        <w:t>: Specify a total lump sum amount</w:t>
      </w:r>
      <w:r>
        <w:rPr>
          <w:lang w:val="en-CA" w:eastAsia="x-none"/>
        </w:rPr>
        <w:t xml:space="preserve"> and the number of anticipated working days </w:t>
      </w:r>
      <w:r w:rsidRPr="00375DA6">
        <w:rPr>
          <w:lang w:val="en-CA" w:eastAsia="x-none"/>
        </w:rPr>
        <w:t xml:space="preserve">for the tasks specified in this Terms of Reference. The financial proposal shall include a breakdown of </w:t>
      </w:r>
      <w:r w:rsidRPr="00593326">
        <w:rPr>
          <w:lang w:val="en-CA" w:eastAsia="x-none"/>
        </w:rPr>
        <w:t>all costs related to completion of the task under the current Terms of Reference.</w:t>
      </w:r>
    </w:p>
    <w:p w14:paraId="25F26072" w14:textId="77777777" w:rsidR="003820B9" w:rsidRPr="00375DA6" w:rsidRDefault="003820B9" w:rsidP="003820B9">
      <w:pPr>
        <w:spacing w:line="240" w:lineRule="auto"/>
        <w:rPr>
          <w:b/>
          <w:bCs/>
          <w:lang w:val="en-CA" w:eastAsia="x-none"/>
        </w:rPr>
      </w:pPr>
      <w:r w:rsidRPr="00375DA6">
        <w:rPr>
          <w:b/>
          <w:bCs/>
          <w:lang w:val="en-CA" w:eastAsia="x-none"/>
        </w:rPr>
        <w:t>Evaluation process</w:t>
      </w:r>
    </w:p>
    <w:p w14:paraId="5E6ACCDB" w14:textId="77777777" w:rsidR="003820B9" w:rsidRPr="00375DA6" w:rsidRDefault="003820B9" w:rsidP="003820B9">
      <w:pPr>
        <w:spacing w:line="240" w:lineRule="auto"/>
        <w:rPr>
          <w:lang w:val="en-CA" w:eastAsia="x-none"/>
        </w:rPr>
      </w:pPr>
      <w:r w:rsidRPr="00375DA6">
        <w:rPr>
          <w:lang w:val="en-CA" w:eastAsia="x-none"/>
        </w:rPr>
        <w:t>The applications will be evaluated using a cumulative analysis method taking into consideration the combination of qualifications and financial proposal.</w:t>
      </w:r>
    </w:p>
    <w:p w14:paraId="4241C66C" w14:textId="77777777" w:rsidR="003820B9" w:rsidRPr="00375DA6" w:rsidRDefault="003820B9" w:rsidP="003820B9">
      <w:pPr>
        <w:spacing w:line="240" w:lineRule="auto"/>
        <w:rPr>
          <w:lang w:val="en-CA" w:eastAsia="x-none"/>
        </w:rPr>
      </w:pPr>
      <w:r w:rsidRPr="00375DA6">
        <w:rPr>
          <w:lang w:val="en-CA" w:eastAsia="x-none"/>
        </w:rPr>
        <w:t xml:space="preserve">The candidates will be short-listed based on the minimum qualification criteria mentioned above: </w:t>
      </w:r>
    </w:p>
    <w:p w14:paraId="70660768" w14:textId="77777777" w:rsidR="003820B9" w:rsidRPr="00375DA6" w:rsidRDefault="003820B9" w:rsidP="003820B9">
      <w:pPr>
        <w:spacing w:line="240" w:lineRule="auto"/>
        <w:rPr>
          <w:lang w:val="en-CA" w:eastAsia="x-none"/>
        </w:rPr>
      </w:pPr>
      <w:r w:rsidRPr="00375DA6">
        <w:rPr>
          <w:lang w:val="en-CA" w:eastAsia="x-none"/>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w:t>
      </w:r>
      <w:r>
        <w:rPr>
          <w:lang w:val="en-CA" w:eastAsia="x-none"/>
        </w:rPr>
        <w:t>500</w:t>
      </w:r>
      <w:r w:rsidRPr="00375DA6">
        <w:rPr>
          <w:lang w:val="en-CA" w:eastAsia="x-none"/>
        </w:rPr>
        <w:t xml:space="preserve"> points. </w:t>
      </w:r>
    </w:p>
    <w:p w14:paraId="15370962" w14:textId="77777777" w:rsidR="003820B9" w:rsidRDefault="003820B9" w:rsidP="003820B9">
      <w:pPr>
        <w:spacing w:line="240" w:lineRule="auto"/>
        <w:rPr>
          <w:lang w:val="en-CA" w:eastAsia="x-none"/>
        </w:rPr>
      </w:pPr>
      <w:r w:rsidRPr="00375DA6">
        <w:rPr>
          <w:lang w:val="en-CA" w:eastAsia="x-none"/>
        </w:rPr>
        <w:t xml:space="preserve">Evaluation of submitted offers will be done based on the following formula: </w:t>
      </w:r>
    </w:p>
    <w:p w14:paraId="7B6FBDF4" w14:textId="6D00B477" w:rsidR="003820B9" w:rsidRPr="00375DA6" w:rsidRDefault="003820B9" w:rsidP="003820B9">
      <w:pPr>
        <w:spacing w:line="240" w:lineRule="auto"/>
        <w:ind w:left="2880" w:firstLine="720"/>
        <w:rPr>
          <w:lang w:val="en-CA" w:eastAsia="x-none"/>
        </w:rPr>
      </w:pPr>
      <w:r>
        <w:rPr>
          <w:noProof/>
          <w:lang w:val="en-CA" w:eastAsia="x-none"/>
        </w:rPr>
        <w:drawing>
          <wp:inline distT="0" distB="0" distL="0" distR="0" wp14:anchorId="26F09185" wp14:editId="42C3CF9E">
            <wp:extent cx="109156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414655"/>
                    </a:xfrm>
                    <a:prstGeom prst="rect">
                      <a:avLst/>
                    </a:prstGeom>
                    <a:noFill/>
                  </pic:spPr>
                </pic:pic>
              </a:graphicData>
            </a:graphic>
          </wp:inline>
        </w:drawing>
      </w:r>
    </w:p>
    <w:p w14:paraId="08D7332E" w14:textId="77777777" w:rsidR="003820B9" w:rsidRPr="00375DA6" w:rsidRDefault="003820B9" w:rsidP="003820B9">
      <w:pPr>
        <w:spacing w:line="240" w:lineRule="auto"/>
        <w:rPr>
          <w:lang w:val="en-CA" w:eastAsia="x-none"/>
        </w:rPr>
      </w:pPr>
      <w:r w:rsidRPr="00375DA6">
        <w:rPr>
          <w:lang w:val="en-CA" w:eastAsia="x-none"/>
        </w:rPr>
        <w:t xml:space="preserve"> where: </w:t>
      </w:r>
      <w:proofErr w:type="gramStart"/>
      <w:r w:rsidRPr="00375DA6">
        <w:rPr>
          <w:lang w:val="en-CA" w:eastAsia="x-none"/>
        </w:rPr>
        <w:t xml:space="preserve">T </w:t>
      </w:r>
      <w:r>
        <w:rPr>
          <w:lang w:val="en-CA" w:eastAsia="x-none"/>
        </w:rPr>
        <w:t xml:space="preserve"> </w:t>
      </w:r>
      <w:r w:rsidRPr="00375DA6">
        <w:rPr>
          <w:lang w:val="en-CA" w:eastAsia="x-none"/>
        </w:rPr>
        <w:t>is</w:t>
      </w:r>
      <w:proofErr w:type="gramEnd"/>
      <w:r w:rsidRPr="00375DA6">
        <w:rPr>
          <w:lang w:val="en-CA" w:eastAsia="x-none"/>
        </w:rPr>
        <w:t xml:space="preserve"> the total technical score awarded to the evaluated proposal (only to those proposals that pass 70% of maximum </w:t>
      </w:r>
      <w:r>
        <w:rPr>
          <w:lang w:val="en-CA" w:eastAsia="x-none"/>
        </w:rPr>
        <w:t>350</w:t>
      </w:r>
      <w:r w:rsidRPr="00375DA6">
        <w:rPr>
          <w:lang w:val="en-CA" w:eastAsia="x-none"/>
        </w:rPr>
        <w:t xml:space="preserve"> points obtainable under technical evaluation); </w:t>
      </w:r>
    </w:p>
    <w:p w14:paraId="42D310CD" w14:textId="77777777" w:rsidR="003820B9" w:rsidRPr="00375DA6" w:rsidRDefault="003820B9" w:rsidP="003820B9">
      <w:pPr>
        <w:spacing w:line="240" w:lineRule="auto"/>
        <w:rPr>
          <w:lang w:val="en-CA" w:eastAsia="x-none"/>
        </w:rPr>
      </w:pPr>
      <w:r w:rsidRPr="00375DA6">
        <w:rPr>
          <w:lang w:val="en-CA" w:eastAsia="x-none"/>
        </w:rPr>
        <w:t xml:space="preserve">C </w:t>
      </w:r>
      <w:r w:rsidRPr="00375DA6">
        <w:rPr>
          <w:lang w:val="en-CA" w:eastAsia="x-none"/>
        </w:rPr>
        <w:tab/>
        <w:t xml:space="preserve">is the price of the evaluated </w:t>
      </w:r>
      <w:proofErr w:type="gramStart"/>
      <w:r w:rsidRPr="00375DA6">
        <w:rPr>
          <w:lang w:val="en-CA" w:eastAsia="x-none"/>
        </w:rPr>
        <w:t>proposal;</w:t>
      </w:r>
      <w:proofErr w:type="gramEnd"/>
      <w:r w:rsidRPr="00375DA6">
        <w:rPr>
          <w:lang w:val="en-CA" w:eastAsia="x-none"/>
        </w:rPr>
        <w:t xml:space="preserve"> </w:t>
      </w:r>
    </w:p>
    <w:p w14:paraId="36385EF1" w14:textId="77777777" w:rsidR="003820B9" w:rsidRPr="00375DA6" w:rsidRDefault="003820B9" w:rsidP="003820B9">
      <w:pPr>
        <w:spacing w:line="240" w:lineRule="auto"/>
        <w:rPr>
          <w:lang w:val="en-CA" w:eastAsia="x-none"/>
        </w:rPr>
      </w:pPr>
      <w:r w:rsidRPr="00375DA6">
        <w:rPr>
          <w:lang w:val="en-CA" w:eastAsia="x-none"/>
        </w:rPr>
        <w:t>C</w:t>
      </w:r>
      <w:r>
        <w:rPr>
          <w:lang w:val="en-CA" w:eastAsia="x-none"/>
        </w:rPr>
        <w:t xml:space="preserve"> </w:t>
      </w:r>
      <w:r w:rsidRPr="00375DA6">
        <w:rPr>
          <w:lang w:val="en-CA" w:eastAsia="x-none"/>
        </w:rPr>
        <w:t xml:space="preserve">low </w:t>
      </w:r>
      <w:r w:rsidRPr="00375DA6">
        <w:rPr>
          <w:lang w:val="en-CA" w:eastAsia="x-none"/>
        </w:rPr>
        <w:tab/>
        <w:t xml:space="preserve">is the lowest of all evaluated proposal prices among responsive proposals; and </w:t>
      </w:r>
    </w:p>
    <w:p w14:paraId="2B9F0E8E" w14:textId="77777777" w:rsidR="003820B9" w:rsidRPr="00375DA6" w:rsidRDefault="003820B9" w:rsidP="003820B9">
      <w:pPr>
        <w:spacing w:line="240" w:lineRule="auto"/>
        <w:rPr>
          <w:lang w:val="en-CA" w:eastAsia="x-none"/>
        </w:rPr>
      </w:pPr>
      <w:r w:rsidRPr="00375DA6">
        <w:rPr>
          <w:lang w:val="en-CA" w:eastAsia="x-none"/>
        </w:rPr>
        <w:t xml:space="preserve">X </w:t>
      </w:r>
      <w:r w:rsidRPr="00375DA6">
        <w:rPr>
          <w:lang w:val="en-CA" w:eastAsia="x-none"/>
        </w:rPr>
        <w:tab/>
        <w:t>is the maximum financial points obtainable (</w:t>
      </w:r>
      <w:r>
        <w:rPr>
          <w:lang w:val="en-CA" w:eastAsia="x-none"/>
        </w:rPr>
        <w:t>150</w:t>
      </w:r>
      <w:r w:rsidRPr="00375DA6">
        <w:rPr>
          <w:lang w:val="en-CA" w:eastAsia="x-none"/>
        </w:rPr>
        <w:t xml:space="preserve"> points) </w:t>
      </w:r>
    </w:p>
    <w:p w14:paraId="0FFE309C" w14:textId="77777777" w:rsidR="003820B9" w:rsidRPr="00375DA6" w:rsidRDefault="003820B9" w:rsidP="003820B9">
      <w:pPr>
        <w:spacing w:line="240" w:lineRule="auto"/>
        <w:rPr>
          <w:lang w:val="en-CA" w:eastAsia="x-none"/>
        </w:rPr>
      </w:pPr>
      <w:r w:rsidRPr="00375DA6">
        <w:rPr>
          <w:lang w:val="en-CA" w:eastAsia="x-none"/>
        </w:rPr>
        <w:t xml:space="preserve">Technical evaluation will be represented through desk review of applications and further interview will be organized if needed, depending on the short-listed candidates’ qualifications. </w:t>
      </w:r>
    </w:p>
    <w:p w14:paraId="259B8E0A" w14:textId="77777777" w:rsidR="003820B9" w:rsidRDefault="003820B9" w:rsidP="003820B9">
      <w:pPr>
        <w:spacing w:line="240" w:lineRule="auto"/>
        <w:rPr>
          <w:lang w:val="en-CA" w:eastAsia="x-none"/>
        </w:rPr>
      </w:pPr>
      <w:r w:rsidRPr="00375DA6">
        <w:rPr>
          <w:lang w:val="en-CA" w:eastAsia="x-none"/>
        </w:rPr>
        <w:t>A)</w:t>
      </w:r>
      <w:r w:rsidRPr="00375DA6">
        <w:rPr>
          <w:lang w:val="en-CA" w:eastAsia="x-none"/>
        </w:rPr>
        <w:tab/>
      </w:r>
      <w:r w:rsidRPr="00375DA6">
        <w:rPr>
          <w:b/>
          <w:bCs/>
          <w:lang w:val="en-CA" w:eastAsia="x-none"/>
        </w:rPr>
        <w:t>Technical Evaluation</w:t>
      </w:r>
      <w:r w:rsidRPr="00375DA6">
        <w:rPr>
          <w:lang w:val="en-CA" w:eastAsia="x-none"/>
        </w:rPr>
        <w:t xml:space="preserve">: The technical part is evaluated </w:t>
      </w:r>
      <w:proofErr w:type="gramStart"/>
      <w:r w:rsidRPr="00375DA6">
        <w:rPr>
          <w:lang w:val="en-CA" w:eastAsia="x-none"/>
        </w:rPr>
        <w:t>on the basis of</w:t>
      </w:r>
      <w:proofErr w:type="gramEnd"/>
      <w:r w:rsidRPr="00375DA6">
        <w:rPr>
          <w:lang w:val="en-CA" w:eastAsia="x-none"/>
        </w:rPr>
        <w:t xml:space="preserve"> its responsiveness to the Terms of Reference (TOR).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016"/>
        <w:gridCol w:w="2346"/>
        <w:gridCol w:w="2327"/>
      </w:tblGrid>
      <w:tr w:rsidR="003820B9" w14:paraId="2FEFB3E9" w14:textId="77777777" w:rsidTr="002638DB">
        <w:tc>
          <w:tcPr>
            <w:tcW w:w="675" w:type="dxa"/>
            <w:shd w:val="clear" w:color="auto" w:fill="auto"/>
          </w:tcPr>
          <w:p w14:paraId="5BA4E667" w14:textId="77777777" w:rsidR="003820B9" w:rsidRDefault="003820B9" w:rsidP="002638DB">
            <w:pPr>
              <w:spacing w:line="240" w:lineRule="auto"/>
            </w:pPr>
            <w:r w:rsidRPr="00124E6F">
              <w:t>#</w:t>
            </w:r>
          </w:p>
        </w:tc>
        <w:tc>
          <w:tcPr>
            <w:tcW w:w="4113" w:type="dxa"/>
            <w:shd w:val="clear" w:color="auto" w:fill="auto"/>
          </w:tcPr>
          <w:p w14:paraId="6027F647" w14:textId="77777777" w:rsidR="003820B9" w:rsidRDefault="003820B9" w:rsidP="002638DB">
            <w:pPr>
              <w:spacing w:line="240" w:lineRule="auto"/>
            </w:pPr>
            <w:r w:rsidRPr="00124E6F">
              <w:t>Criteria for technical evaluation</w:t>
            </w:r>
          </w:p>
        </w:tc>
        <w:tc>
          <w:tcPr>
            <w:tcW w:w="2394" w:type="dxa"/>
            <w:shd w:val="clear" w:color="auto" w:fill="auto"/>
          </w:tcPr>
          <w:p w14:paraId="781FDB1B" w14:textId="77777777" w:rsidR="003820B9" w:rsidRDefault="003820B9" w:rsidP="002638DB">
            <w:pPr>
              <w:spacing w:line="240" w:lineRule="auto"/>
            </w:pPr>
            <w:r w:rsidRPr="00124E6F">
              <w:t>Scoring</w:t>
            </w:r>
          </w:p>
        </w:tc>
        <w:tc>
          <w:tcPr>
            <w:tcW w:w="2394" w:type="dxa"/>
            <w:shd w:val="clear" w:color="auto" w:fill="auto"/>
          </w:tcPr>
          <w:p w14:paraId="7925886D" w14:textId="77777777" w:rsidR="003820B9" w:rsidRDefault="003820B9" w:rsidP="002638DB">
            <w:pPr>
              <w:spacing w:line="240" w:lineRule="auto"/>
            </w:pPr>
            <w:r w:rsidRPr="00124E6F">
              <w:t>Max. points</w:t>
            </w:r>
          </w:p>
        </w:tc>
      </w:tr>
      <w:tr w:rsidR="003820B9" w14:paraId="46AC9887" w14:textId="77777777" w:rsidTr="002638DB">
        <w:tc>
          <w:tcPr>
            <w:tcW w:w="675" w:type="dxa"/>
            <w:shd w:val="clear" w:color="auto" w:fill="auto"/>
          </w:tcPr>
          <w:p w14:paraId="19D5C44B" w14:textId="77777777" w:rsidR="003820B9" w:rsidRPr="00124E6F" w:rsidRDefault="003820B9" w:rsidP="002638DB">
            <w:pPr>
              <w:spacing w:line="240" w:lineRule="auto"/>
            </w:pPr>
            <w:r>
              <w:t>1</w:t>
            </w:r>
          </w:p>
        </w:tc>
        <w:tc>
          <w:tcPr>
            <w:tcW w:w="4113" w:type="dxa"/>
            <w:shd w:val="clear" w:color="auto" w:fill="auto"/>
          </w:tcPr>
          <w:p w14:paraId="38D83222" w14:textId="77777777" w:rsidR="003820B9" w:rsidRPr="00124E6F" w:rsidRDefault="003820B9" w:rsidP="002638DB">
            <w:pPr>
              <w:spacing w:line="240" w:lineRule="auto"/>
            </w:pPr>
            <w:r w:rsidRPr="007400BB">
              <w:t>Master’s degree or advanced university degree in social science, gender/women’s studies, programme management, or other related fields</w:t>
            </w:r>
          </w:p>
        </w:tc>
        <w:tc>
          <w:tcPr>
            <w:tcW w:w="2394" w:type="dxa"/>
            <w:shd w:val="clear" w:color="auto" w:fill="auto"/>
          </w:tcPr>
          <w:p w14:paraId="590827BA" w14:textId="77777777" w:rsidR="003820B9" w:rsidRDefault="003820B9" w:rsidP="002638DB">
            <w:pPr>
              <w:spacing w:line="240" w:lineRule="auto"/>
            </w:pPr>
            <w:r>
              <w:t>Bachelor – 20 pts</w:t>
            </w:r>
          </w:p>
          <w:p w14:paraId="28E9018F" w14:textId="77777777" w:rsidR="003820B9" w:rsidRDefault="003820B9" w:rsidP="002638DB">
            <w:pPr>
              <w:spacing w:line="240" w:lineRule="auto"/>
            </w:pPr>
            <w:r>
              <w:t>Master’s - 30 pts</w:t>
            </w:r>
          </w:p>
          <w:p w14:paraId="0DED8F83" w14:textId="77777777" w:rsidR="003820B9" w:rsidRPr="00124E6F" w:rsidRDefault="003820B9" w:rsidP="002638DB">
            <w:pPr>
              <w:spacing w:line="240" w:lineRule="auto"/>
            </w:pPr>
            <w:r>
              <w:lastRenderedPageBreak/>
              <w:t>Additional Monitoring &amp; RBM training – up to additional 10 pts</w:t>
            </w:r>
          </w:p>
        </w:tc>
        <w:tc>
          <w:tcPr>
            <w:tcW w:w="2394" w:type="dxa"/>
            <w:shd w:val="clear" w:color="auto" w:fill="auto"/>
          </w:tcPr>
          <w:p w14:paraId="6DA74FC8" w14:textId="77777777" w:rsidR="003820B9" w:rsidRPr="00124E6F" w:rsidRDefault="003820B9" w:rsidP="002638DB">
            <w:pPr>
              <w:spacing w:line="240" w:lineRule="auto"/>
            </w:pPr>
            <w:r>
              <w:lastRenderedPageBreak/>
              <w:t>40</w:t>
            </w:r>
          </w:p>
        </w:tc>
      </w:tr>
      <w:tr w:rsidR="003820B9" w14:paraId="5486092F" w14:textId="77777777" w:rsidTr="002638DB">
        <w:tc>
          <w:tcPr>
            <w:tcW w:w="675" w:type="dxa"/>
            <w:shd w:val="clear" w:color="auto" w:fill="auto"/>
          </w:tcPr>
          <w:p w14:paraId="66644A08" w14:textId="77777777" w:rsidR="003820B9" w:rsidRDefault="003820B9" w:rsidP="002638DB">
            <w:pPr>
              <w:spacing w:line="240" w:lineRule="auto"/>
            </w:pPr>
            <w:r>
              <w:t>2</w:t>
            </w:r>
          </w:p>
        </w:tc>
        <w:tc>
          <w:tcPr>
            <w:tcW w:w="4113" w:type="dxa"/>
            <w:shd w:val="clear" w:color="auto" w:fill="auto"/>
          </w:tcPr>
          <w:p w14:paraId="307910B0" w14:textId="77777777" w:rsidR="003820B9" w:rsidRPr="00124E6F" w:rsidRDefault="003820B9" w:rsidP="002638DB">
            <w:pPr>
              <w:spacing w:line="240" w:lineRule="auto"/>
            </w:pPr>
            <w:r w:rsidRPr="007400BB">
              <w:t>10 years of professional work experience in programme development and implementation, including monitoring and evaluation activities</w:t>
            </w:r>
          </w:p>
        </w:tc>
        <w:tc>
          <w:tcPr>
            <w:tcW w:w="2394" w:type="dxa"/>
            <w:shd w:val="clear" w:color="auto" w:fill="auto"/>
          </w:tcPr>
          <w:p w14:paraId="2F820C7A" w14:textId="77777777" w:rsidR="003820B9" w:rsidRPr="00124E6F" w:rsidRDefault="003820B9" w:rsidP="002638DB">
            <w:pPr>
              <w:spacing w:line="240" w:lineRule="auto"/>
            </w:pPr>
            <w:r w:rsidRPr="00124E6F">
              <w:t>(3 years –40 pts, each year over 3 years – 10 pts, up to a max of 70 pts)</w:t>
            </w:r>
          </w:p>
        </w:tc>
        <w:tc>
          <w:tcPr>
            <w:tcW w:w="2394" w:type="dxa"/>
            <w:shd w:val="clear" w:color="auto" w:fill="auto"/>
          </w:tcPr>
          <w:p w14:paraId="2B256450" w14:textId="77777777" w:rsidR="003820B9" w:rsidRPr="00124E6F" w:rsidRDefault="003820B9" w:rsidP="002638DB">
            <w:pPr>
              <w:spacing w:line="240" w:lineRule="auto"/>
            </w:pPr>
            <w:r>
              <w:t>70</w:t>
            </w:r>
          </w:p>
        </w:tc>
      </w:tr>
      <w:tr w:rsidR="003820B9" w14:paraId="315974B4" w14:textId="77777777" w:rsidTr="002638DB">
        <w:tc>
          <w:tcPr>
            <w:tcW w:w="675" w:type="dxa"/>
            <w:shd w:val="clear" w:color="auto" w:fill="auto"/>
          </w:tcPr>
          <w:p w14:paraId="351B2BCA" w14:textId="77777777" w:rsidR="003820B9" w:rsidRDefault="003820B9" w:rsidP="002638DB">
            <w:pPr>
              <w:spacing w:line="240" w:lineRule="auto"/>
            </w:pPr>
            <w:r>
              <w:t>3</w:t>
            </w:r>
          </w:p>
        </w:tc>
        <w:tc>
          <w:tcPr>
            <w:tcW w:w="4113" w:type="dxa"/>
            <w:shd w:val="clear" w:color="auto" w:fill="auto"/>
          </w:tcPr>
          <w:p w14:paraId="6E6BA472" w14:textId="77777777" w:rsidR="003820B9" w:rsidRPr="00124E6F" w:rsidRDefault="003820B9" w:rsidP="002638DB">
            <w:pPr>
              <w:spacing w:line="240" w:lineRule="auto"/>
            </w:pPr>
            <w:r w:rsidRPr="007400BB">
              <w:t>Experience working on gender equality and women’s empowerment ECA region</w:t>
            </w:r>
          </w:p>
        </w:tc>
        <w:tc>
          <w:tcPr>
            <w:tcW w:w="2394" w:type="dxa"/>
            <w:shd w:val="clear" w:color="auto" w:fill="auto"/>
          </w:tcPr>
          <w:p w14:paraId="32908EDE" w14:textId="77777777" w:rsidR="003820B9" w:rsidRPr="00124E6F" w:rsidRDefault="003820B9" w:rsidP="002638DB">
            <w:pPr>
              <w:spacing w:line="240" w:lineRule="auto"/>
            </w:pPr>
            <w:r w:rsidRPr="0003254F">
              <w:t xml:space="preserve">3 years –40 pts, each year over 3 year –10 pts, up to a maximum of </w:t>
            </w:r>
            <w:r>
              <w:t>60</w:t>
            </w:r>
            <w:r w:rsidRPr="0003254F">
              <w:t xml:space="preserve"> pts</w:t>
            </w:r>
          </w:p>
        </w:tc>
        <w:tc>
          <w:tcPr>
            <w:tcW w:w="2394" w:type="dxa"/>
            <w:shd w:val="clear" w:color="auto" w:fill="auto"/>
          </w:tcPr>
          <w:p w14:paraId="6EC5B263" w14:textId="77777777" w:rsidR="003820B9" w:rsidRPr="00124E6F" w:rsidRDefault="003820B9" w:rsidP="002638DB">
            <w:pPr>
              <w:spacing w:line="240" w:lineRule="auto"/>
            </w:pPr>
            <w:r>
              <w:t>60</w:t>
            </w:r>
          </w:p>
        </w:tc>
      </w:tr>
      <w:tr w:rsidR="003820B9" w14:paraId="17B4E2DE" w14:textId="77777777" w:rsidTr="002638DB">
        <w:tc>
          <w:tcPr>
            <w:tcW w:w="675" w:type="dxa"/>
            <w:shd w:val="clear" w:color="auto" w:fill="auto"/>
          </w:tcPr>
          <w:p w14:paraId="4FDEF73B" w14:textId="77777777" w:rsidR="003820B9" w:rsidRDefault="003820B9" w:rsidP="002638DB">
            <w:pPr>
              <w:spacing w:line="240" w:lineRule="auto"/>
            </w:pPr>
            <w:r>
              <w:t>4</w:t>
            </w:r>
          </w:p>
        </w:tc>
        <w:tc>
          <w:tcPr>
            <w:tcW w:w="4113" w:type="dxa"/>
            <w:shd w:val="clear" w:color="auto" w:fill="auto"/>
          </w:tcPr>
          <w:p w14:paraId="37BF641B" w14:textId="77777777" w:rsidR="003820B9" w:rsidRPr="00124E6F" w:rsidRDefault="003820B9" w:rsidP="002638DB">
            <w:pPr>
              <w:spacing w:line="240" w:lineRule="auto"/>
            </w:pPr>
            <w:r w:rsidRPr="007400BB">
              <w:t>Proven experience in guiding and documenting programme reviews and evaluations</w:t>
            </w:r>
          </w:p>
        </w:tc>
        <w:tc>
          <w:tcPr>
            <w:tcW w:w="2394" w:type="dxa"/>
            <w:shd w:val="clear" w:color="auto" w:fill="auto"/>
          </w:tcPr>
          <w:p w14:paraId="44703933" w14:textId="77777777" w:rsidR="003820B9" w:rsidRPr="00124E6F" w:rsidRDefault="003820B9" w:rsidP="002638DB">
            <w:pPr>
              <w:spacing w:line="240" w:lineRule="auto"/>
            </w:pPr>
            <w:r w:rsidRPr="00124E6F">
              <w:t xml:space="preserve">3 years –30 pts, each year over 3 year –5 pts, up to a maximum of </w:t>
            </w:r>
            <w:r>
              <w:t>70</w:t>
            </w:r>
            <w:r w:rsidRPr="00124E6F">
              <w:t xml:space="preserve"> pts</w:t>
            </w:r>
          </w:p>
        </w:tc>
        <w:tc>
          <w:tcPr>
            <w:tcW w:w="2394" w:type="dxa"/>
            <w:shd w:val="clear" w:color="auto" w:fill="auto"/>
          </w:tcPr>
          <w:p w14:paraId="204F27C1" w14:textId="77777777" w:rsidR="003820B9" w:rsidRPr="00124E6F" w:rsidRDefault="003820B9" w:rsidP="002638DB">
            <w:pPr>
              <w:spacing w:line="240" w:lineRule="auto"/>
            </w:pPr>
            <w:r>
              <w:t>70</w:t>
            </w:r>
          </w:p>
        </w:tc>
      </w:tr>
      <w:tr w:rsidR="003820B9" w14:paraId="3F91147C" w14:textId="77777777" w:rsidTr="002638DB">
        <w:tc>
          <w:tcPr>
            <w:tcW w:w="675" w:type="dxa"/>
            <w:shd w:val="clear" w:color="auto" w:fill="auto"/>
          </w:tcPr>
          <w:p w14:paraId="11702AA1" w14:textId="77777777" w:rsidR="003820B9" w:rsidRDefault="003820B9" w:rsidP="002638DB">
            <w:pPr>
              <w:spacing w:line="240" w:lineRule="auto"/>
            </w:pPr>
            <w:r>
              <w:t>5</w:t>
            </w:r>
          </w:p>
        </w:tc>
        <w:tc>
          <w:tcPr>
            <w:tcW w:w="4113" w:type="dxa"/>
            <w:shd w:val="clear" w:color="auto" w:fill="auto"/>
          </w:tcPr>
          <w:p w14:paraId="17201D03" w14:textId="77777777" w:rsidR="003820B9" w:rsidRPr="00124E6F" w:rsidRDefault="003820B9" w:rsidP="002638DB">
            <w:pPr>
              <w:spacing w:line="240" w:lineRule="auto"/>
            </w:pPr>
            <w:r w:rsidRPr="007400BB">
              <w:t>Proven knowledge of programme monitoring and evaluation theory, including theories of change, methodology, technology and tools</w:t>
            </w:r>
          </w:p>
        </w:tc>
        <w:tc>
          <w:tcPr>
            <w:tcW w:w="2394" w:type="dxa"/>
            <w:shd w:val="clear" w:color="auto" w:fill="auto"/>
          </w:tcPr>
          <w:p w14:paraId="4605AA3F" w14:textId="77777777" w:rsidR="003820B9" w:rsidRPr="00124E6F" w:rsidRDefault="003820B9" w:rsidP="002638DB">
            <w:pPr>
              <w:spacing w:line="240" w:lineRule="auto"/>
            </w:pPr>
            <w:r>
              <w:t>3</w:t>
            </w:r>
            <w:r w:rsidRPr="0003254F">
              <w:t xml:space="preserve"> years –</w:t>
            </w:r>
            <w:r>
              <w:t>20</w:t>
            </w:r>
            <w:r w:rsidRPr="0003254F">
              <w:t xml:space="preserve"> pts, each year over 2 year –5 pts, up to a maximum of </w:t>
            </w:r>
            <w:r>
              <w:t>60</w:t>
            </w:r>
            <w:r w:rsidRPr="0003254F">
              <w:t xml:space="preserve"> pts</w:t>
            </w:r>
          </w:p>
        </w:tc>
        <w:tc>
          <w:tcPr>
            <w:tcW w:w="2394" w:type="dxa"/>
            <w:shd w:val="clear" w:color="auto" w:fill="auto"/>
          </w:tcPr>
          <w:p w14:paraId="62610887" w14:textId="77777777" w:rsidR="003820B9" w:rsidRPr="00124E6F" w:rsidRDefault="003820B9" w:rsidP="002638DB">
            <w:pPr>
              <w:spacing w:line="240" w:lineRule="auto"/>
            </w:pPr>
            <w:r>
              <w:t>60</w:t>
            </w:r>
          </w:p>
        </w:tc>
      </w:tr>
      <w:tr w:rsidR="003820B9" w14:paraId="09BC5DEA" w14:textId="77777777" w:rsidTr="002638DB">
        <w:tc>
          <w:tcPr>
            <w:tcW w:w="675" w:type="dxa"/>
            <w:shd w:val="clear" w:color="auto" w:fill="auto"/>
          </w:tcPr>
          <w:p w14:paraId="3BCBB309" w14:textId="77777777" w:rsidR="003820B9" w:rsidRDefault="003820B9" w:rsidP="002638DB">
            <w:pPr>
              <w:spacing w:line="240" w:lineRule="auto"/>
            </w:pPr>
            <w:r>
              <w:t>6</w:t>
            </w:r>
          </w:p>
        </w:tc>
        <w:tc>
          <w:tcPr>
            <w:tcW w:w="4113" w:type="dxa"/>
            <w:shd w:val="clear" w:color="auto" w:fill="auto"/>
          </w:tcPr>
          <w:p w14:paraId="10A03FE2" w14:textId="77777777" w:rsidR="003820B9" w:rsidRPr="007400BB" w:rsidRDefault="003820B9" w:rsidP="002638DB">
            <w:pPr>
              <w:spacing w:line="240" w:lineRule="auto"/>
            </w:pPr>
            <w:r w:rsidRPr="007400BB">
              <w:t>Experience working programming, monitoring and evaluation with the UN agencies, similar international organizations, NGOs, multi/bilateral and/or government institutions would be an advantage.</w:t>
            </w:r>
          </w:p>
        </w:tc>
        <w:tc>
          <w:tcPr>
            <w:tcW w:w="2394" w:type="dxa"/>
            <w:shd w:val="clear" w:color="auto" w:fill="auto"/>
          </w:tcPr>
          <w:p w14:paraId="6EBF6BE2" w14:textId="77777777" w:rsidR="003820B9" w:rsidRPr="0003254F" w:rsidRDefault="003820B9" w:rsidP="002638DB">
            <w:pPr>
              <w:spacing w:line="240" w:lineRule="auto"/>
            </w:pPr>
            <w:r w:rsidRPr="007400BB">
              <w:t>2 years –</w:t>
            </w:r>
            <w:r>
              <w:t>10</w:t>
            </w:r>
            <w:r w:rsidRPr="007400BB">
              <w:t xml:space="preserve"> pts, each year over 2 year –5 pts, up to a maximum of </w:t>
            </w:r>
            <w:r>
              <w:t>30</w:t>
            </w:r>
            <w:r w:rsidRPr="007400BB">
              <w:t xml:space="preserve"> pts</w:t>
            </w:r>
          </w:p>
        </w:tc>
        <w:tc>
          <w:tcPr>
            <w:tcW w:w="2394" w:type="dxa"/>
            <w:shd w:val="clear" w:color="auto" w:fill="auto"/>
          </w:tcPr>
          <w:p w14:paraId="409AB271" w14:textId="77777777" w:rsidR="003820B9" w:rsidRDefault="003820B9" w:rsidP="002638DB">
            <w:pPr>
              <w:spacing w:line="240" w:lineRule="auto"/>
            </w:pPr>
            <w:r>
              <w:t>30</w:t>
            </w:r>
          </w:p>
        </w:tc>
      </w:tr>
      <w:tr w:rsidR="003820B9" w14:paraId="10509448" w14:textId="77777777" w:rsidTr="002638DB">
        <w:tc>
          <w:tcPr>
            <w:tcW w:w="675" w:type="dxa"/>
            <w:shd w:val="clear" w:color="auto" w:fill="auto"/>
          </w:tcPr>
          <w:p w14:paraId="1A6B8AB7" w14:textId="77777777" w:rsidR="003820B9" w:rsidRDefault="003820B9" w:rsidP="002638DB">
            <w:pPr>
              <w:spacing w:line="240" w:lineRule="auto"/>
            </w:pPr>
            <w:r>
              <w:t>7</w:t>
            </w:r>
          </w:p>
        </w:tc>
        <w:tc>
          <w:tcPr>
            <w:tcW w:w="4113" w:type="dxa"/>
            <w:shd w:val="clear" w:color="auto" w:fill="auto"/>
          </w:tcPr>
          <w:p w14:paraId="2AB54481" w14:textId="77777777" w:rsidR="003820B9" w:rsidRPr="00124E6F" w:rsidRDefault="003820B9" w:rsidP="002638DB">
            <w:pPr>
              <w:spacing w:line="240" w:lineRule="auto"/>
            </w:pPr>
            <w:r w:rsidRPr="007400BB">
              <w:t>Excellent oral and written communication skills in English. Knowledge of Russian will be an asset</w:t>
            </w:r>
            <w:r w:rsidRPr="00124E6F">
              <w:t>.</w:t>
            </w:r>
          </w:p>
        </w:tc>
        <w:tc>
          <w:tcPr>
            <w:tcW w:w="2394" w:type="dxa"/>
            <w:shd w:val="clear" w:color="auto" w:fill="auto"/>
          </w:tcPr>
          <w:p w14:paraId="0711E148" w14:textId="77777777" w:rsidR="003820B9" w:rsidRPr="00124E6F" w:rsidRDefault="003820B9" w:rsidP="002638DB">
            <w:pPr>
              <w:spacing w:line="240" w:lineRule="auto"/>
            </w:pPr>
            <w:r w:rsidRPr="00124E6F">
              <w:t>1</w:t>
            </w:r>
            <w:r>
              <w:t>0</w:t>
            </w:r>
            <w:r w:rsidRPr="00124E6F">
              <w:t xml:space="preserve"> pts - </w:t>
            </w:r>
            <w:r>
              <w:t xml:space="preserve">for each language knowledge </w:t>
            </w:r>
          </w:p>
        </w:tc>
        <w:tc>
          <w:tcPr>
            <w:tcW w:w="2394" w:type="dxa"/>
            <w:shd w:val="clear" w:color="auto" w:fill="auto"/>
          </w:tcPr>
          <w:p w14:paraId="53FC4785" w14:textId="77777777" w:rsidR="003820B9" w:rsidRPr="00124E6F" w:rsidRDefault="003820B9" w:rsidP="002638DB">
            <w:pPr>
              <w:spacing w:line="240" w:lineRule="auto"/>
            </w:pPr>
            <w:r>
              <w:t>20</w:t>
            </w:r>
          </w:p>
        </w:tc>
      </w:tr>
      <w:tr w:rsidR="003820B9" w14:paraId="0F337CC9" w14:textId="77777777" w:rsidTr="002638DB">
        <w:tc>
          <w:tcPr>
            <w:tcW w:w="675" w:type="dxa"/>
            <w:shd w:val="clear" w:color="auto" w:fill="auto"/>
          </w:tcPr>
          <w:p w14:paraId="7E555542" w14:textId="77777777" w:rsidR="003820B9" w:rsidRDefault="003820B9" w:rsidP="002638DB">
            <w:pPr>
              <w:spacing w:line="240" w:lineRule="auto"/>
            </w:pPr>
          </w:p>
        </w:tc>
        <w:tc>
          <w:tcPr>
            <w:tcW w:w="4113" w:type="dxa"/>
            <w:shd w:val="clear" w:color="auto" w:fill="auto"/>
          </w:tcPr>
          <w:p w14:paraId="2AB4D3A4" w14:textId="77777777" w:rsidR="003820B9" w:rsidRPr="007400BB" w:rsidRDefault="003820B9" w:rsidP="002638DB">
            <w:pPr>
              <w:spacing w:line="240" w:lineRule="auto"/>
              <w:rPr>
                <w:b/>
                <w:bCs/>
                <w:i/>
                <w:iCs/>
              </w:rPr>
            </w:pPr>
            <w:r w:rsidRPr="007400BB">
              <w:rPr>
                <w:b/>
                <w:bCs/>
                <w:i/>
                <w:iCs/>
              </w:rPr>
              <w:t>Maximum Total Technical Scoring</w:t>
            </w:r>
          </w:p>
        </w:tc>
        <w:tc>
          <w:tcPr>
            <w:tcW w:w="2394" w:type="dxa"/>
            <w:shd w:val="clear" w:color="auto" w:fill="auto"/>
          </w:tcPr>
          <w:p w14:paraId="76280E6B" w14:textId="77777777" w:rsidR="003820B9" w:rsidRPr="00124E6F" w:rsidRDefault="003820B9" w:rsidP="002638DB">
            <w:pPr>
              <w:spacing w:line="240" w:lineRule="auto"/>
            </w:pPr>
          </w:p>
        </w:tc>
        <w:tc>
          <w:tcPr>
            <w:tcW w:w="2394" w:type="dxa"/>
            <w:shd w:val="clear" w:color="auto" w:fill="auto"/>
          </w:tcPr>
          <w:p w14:paraId="79BE28E3" w14:textId="77777777" w:rsidR="003820B9" w:rsidRPr="007400BB" w:rsidRDefault="003820B9" w:rsidP="002638DB">
            <w:pPr>
              <w:spacing w:line="240" w:lineRule="auto"/>
              <w:rPr>
                <w:b/>
                <w:bCs/>
                <w:i/>
                <w:iCs/>
              </w:rPr>
            </w:pPr>
            <w:r w:rsidRPr="007400BB">
              <w:rPr>
                <w:b/>
                <w:bCs/>
                <w:i/>
                <w:iCs/>
              </w:rPr>
              <w:t>350</w:t>
            </w:r>
          </w:p>
        </w:tc>
      </w:tr>
    </w:tbl>
    <w:p w14:paraId="4546E949" w14:textId="77777777" w:rsidR="003820B9" w:rsidRDefault="003820B9" w:rsidP="003820B9">
      <w:pPr>
        <w:spacing w:line="240" w:lineRule="auto"/>
      </w:pPr>
    </w:p>
    <w:p w14:paraId="4C706D2F" w14:textId="77777777" w:rsidR="003820B9" w:rsidRPr="00375DA6" w:rsidRDefault="003820B9" w:rsidP="003820B9">
      <w:pPr>
        <w:spacing w:line="240" w:lineRule="auto"/>
        <w:rPr>
          <w:lang w:val="en-CA" w:eastAsia="x-none"/>
        </w:rPr>
      </w:pPr>
      <w:r w:rsidRPr="00375DA6">
        <w:rPr>
          <w:lang w:val="en-CA" w:eastAsia="x-none"/>
        </w:rPr>
        <w:t>B)</w:t>
      </w:r>
      <w:r w:rsidRPr="00375DA6">
        <w:rPr>
          <w:lang w:val="en-CA" w:eastAsia="x-none"/>
        </w:rPr>
        <w:tab/>
      </w:r>
      <w:r w:rsidRPr="00375DA6">
        <w:rPr>
          <w:b/>
          <w:bCs/>
          <w:lang w:val="en-CA" w:eastAsia="x-none"/>
        </w:rPr>
        <w:t>Financial evaluation</w:t>
      </w:r>
      <w:r w:rsidRPr="00375DA6">
        <w:rPr>
          <w:lang w:val="en-CA" w:eastAsia="x-none"/>
        </w:rPr>
        <w:t>:</w:t>
      </w:r>
    </w:p>
    <w:p w14:paraId="101991D9" w14:textId="77777777" w:rsidR="003820B9" w:rsidRPr="00375DA6" w:rsidRDefault="003820B9" w:rsidP="003820B9">
      <w:pPr>
        <w:spacing w:line="240" w:lineRule="auto"/>
        <w:rPr>
          <w:lang w:val="en-CA" w:eastAsia="x-none"/>
        </w:rPr>
      </w:pPr>
      <w:r w:rsidRPr="00375DA6">
        <w:rPr>
          <w:lang w:val="en-CA" w:eastAsia="x-none"/>
        </w:rPr>
        <w:t xml:space="preserve">In the Second Stage, the financial proposal of candidates, who have attained minimum 70% score in the technical evaluation (at least </w:t>
      </w:r>
      <w:r>
        <w:rPr>
          <w:lang w:val="en-CA" w:eastAsia="x-none"/>
        </w:rPr>
        <w:t>245</w:t>
      </w:r>
      <w:r w:rsidRPr="00375DA6">
        <w:rPr>
          <w:lang w:val="en-CA" w:eastAsia="x-none"/>
        </w:rPr>
        <w:t xml:space="preserve"> points), will be compared.</w:t>
      </w:r>
    </w:p>
    <w:p w14:paraId="3FFCE948" w14:textId="77777777" w:rsidR="003820B9" w:rsidRPr="00375DA6" w:rsidRDefault="003820B9" w:rsidP="003820B9">
      <w:pPr>
        <w:spacing w:line="240" w:lineRule="auto"/>
        <w:rPr>
          <w:b/>
          <w:bCs/>
          <w:lang w:val="en-CA" w:eastAsia="x-none"/>
        </w:rPr>
      </w:pPr>
      <w:r w:rsidRPr="00375DA6">
        <w:rPr>
          <w:b/>
          <w:bCs/>
          <w:lang w:val="en-CA" w:eastAsia="x-none"/>
        </w:rPr>
        <w:t xml:space="preserve">WINNING CANDIDATE </w:t>
      </w:r>
    </w:p>
    <w:p w14:paraId="648E3284" w14:textId="77777777" w:rsidR="003820B9" w:rsidRDefault="003820B9" w:rsidP="003820B9">
      <w:pPr>
        <w:spacing w:line="240" w:lineRule="auto"/>
        <w:rPr>
          <w:lang w:val="en-CA" w:eastAsia="x-none"/>
        </w:rPr>
      </w:pPr>
      <w:r w:rsidRPr="00375DA6">
        <w:rPr>
          <w:lang w:val="en-CA" w:eastAsia="x-none"/>
        </w:rPr>
        <w:t>The winning candidate will be the candidate, who has accumulated the highest aggregated score (technical scoring + financial scoring).</w:t>
      </w:r>
    </w:p>
    <w:p w14:paraId="3E34D71B" w14:textId="77777777" w:rsidR="003820B9" w:rsidRDefault="003820B9" w:rsidP="003820B9">
      <w:pPr>
        <w:spacing w:line="240" w:lineRule="auto"/>
        <w:rPr>
          <w:lang w:val="en-CA" w:eastAsia="x-none"/>
        </w:rPr>
      </w:pPr>
    </w:p>
    <w:p w14:paraId="0C2D08E5" w14:textId="77777777" w:rsidR="003820B9" w:rsidRDefault="003820B9" w:rsidP="003820B9">
      <w:pPr>
        <w:spacing w:line="240" w:lineRule="auto"/>
        <w:rPr>
          <w:lang w:val="en-CA" w:eastAsia="x-none"/>
        </w:rPr>
      </w:pPr>
    </w:p>
    <w:p w14:paraId="36BAE3C0" w14:textId="77777777" w:rsidR="003820B9" w:rsidRPr="00174BE3" w:rsidRDefault="003820B9" w:rsidP="003820B9">
      <w:pPr>
        <w:spacing w:line="240" w:lineRule="auto"/>
        <w:rPr>
          <w:lang w:val="en-CA" w:eastAsia="x-none"/>
        </w:rPr>
      </w:pPr>
    </w:p>
    <w:p w14:paraId="3AC01D2F" w14:textId="77777777" w:rsidR="003820B9" w:rsidRPr="00174BE3" w:rsidRDefault="003820B9" w:rsidP="003820B9">
      <w:pPr>
        <w:spacing w:after="0" w:line="240" w:lineRule="auto"/>
        <w:jc w:val="center"/>
        <w:textAlignment w:val="baseline"/>
        <w:rPr>
          <w:rFonts w:ascii="Segoe UI" w:eastAsia="Times New Roman" w:hAnsi="Segoe UI" w:cs="Segoe UI"/>
          <w:b/>
          <w:bCs/>
          <w:sz w:val="18"/>
          <w:szCs w:val="18"/>
        </w:rPr>
      </w:pPr>
      <w:r w:rsidRPr="00174BE3">
        <w:rPr>
          <w:rFonts w:eastAsia="Times New Roman" w:cs="Calibri"/>
          <w:b/>
          <w:bCs/>
        </w:rPr>
        <w:lastRenderedPageBreak/>
        <w:t>Annex II: Price Proposal Submission Form </w:t>
      </w:r>
    </w:p>
    <w:p w14:paraId="772C6525"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b/>
          <w:bCs/>
        </w:rPr>
        <w:t>To: </w:t>
      </w:r>
      <w:r w:rsidRPr="00174BE3">
        <w:rPr>
          <w:rFonts w:eastAsia="Times New Roman" w:cs="Calibri"/>
        </w:rPr>
        <w:t>United Nations Entity for Gender Equality and the Empowerment of Women </w:t>
      </w:r>
    </w:p>
    <w:p w14:paraId="7D312ACF" w14:textId="77777777" w:rsidR="003820B9" w:rsidRPr="00174BE3" w:rsidRDefault="003820B9" w:rsidP="003820B9">
      <w:pPr>
        <w:spacing w:after="0" w:line="240" w:lineRule="auto"/>
        <w:ind w:right="15"/>
        <w:jc w:val="both"/>
        <w:textAlignment w:val="baseline"/>
        <w:rPr>
          <w:rFonts w:ascii="Segoe UI" w:eastAsia="Times New Roman" w:hAnsi="Segoe UI" w:cs="Segoe UI"/>
          <w:sz w:val="18"/>
          <w:szCs w:val="18"/>
        </w:rPr>
      </w:pPr>
      <w:r w:rsidRPr="00174BE3">
        <w:rPr>
          <w:rFonts w:eastAsia="Times New Roman" w:cs="Calibri"/>
          <w:b/>
          <w:bCs/>
        </w:rPr>
        <w:t>Ref: Consultant to support the preparation of Mid-Term Review of UN Women Moldova CO Strategic Note 201</w:t>
      </w:r>
      <w:r>
        <w:rPr>
          <w:rFonts w:eastAsia="Times New Roman" w:cs="Calibri"/>
          <w:b/>
          <w:bCs/>
        </w:rPr>
        <w:t>8</w:t>
      </w:r>
      <w:r w:rsidRPr="00174BE3">
        <w:rPr>
          <w:rFonts w:eastAsia="Times New Roman" w:cs="Calibri"/>
          <w:b/>
          <w:bCs/>
        </w:rPr>
        <w:t>-202</w:t>
      </w:r>
      <w:r>
        <w:rPr>
          <w:rFonts w:eastAsia="Times New Roman" w:cs="Calibri"/>
          <w:b/>
          <w:bCs/>
        </w:rPr>
        <w:t>2</w:t>
      </w:r>
    </w:p>
    <w:p w14:paraId="62443677" w14:textId="77777777" w:rsidR="003820B9" w:rsidRPr="00174BE3" w:rsidRDefault="003820B9" w:rsidP="003820B9">
      <w:pPr>
        <w:spacing w:after="0" w:line="240" w:lineRule="auto"/>
        <w:ind w:right="15"/>
        <w:jc w:val="both"/>
        <w:textAlignment w:val="baseline"/>
        <w:rPr>
          <w:rFonts w:ascii="Segoe UI" w:eastAsia="Times New Roman" w:hAnsi="Segoe UI" w:cs="Segoe UI"/>
          <w:sz w:val="18"/>
          <w:szCs w:val="18"/>
        </w:rPr>
      </w:pPr>
      <w:r w:rsidRPr="00174BE3">
        <w:rPr>
          <w:rFonts w:eastAsia="Times New Roman" w:cs="Calibri"/>
        </w:rPr>
        <w:t> </w:t>
      </w:r>
    </w:p>
    <w:p w14:paraId="6DEA6964" w14:textId="77777777" w:rsidR="003820B9" w:rsidRPr="00174BE3" w:rsidRDefault="003820B9" w:rsidP="003820B9">
      <w:pPr>
        <w:spacing w:after="0" w:line="240" w:lineRule="auto"/>
        <w:ind w:right="15"/>
        <w:textAlignment w:val="baseline"/>
        <w:rPr>
          <w:rFonts w:ascii="Segoe UI" w:eastAsia="Times New Roman" w:hAnsi="Segoe UI" w:cs="Segoe UI"/>
          <w:sz w:val="18"/>
          <w:szCs w:val="18"/>
        </w:rPr>
      </w:pPr>
      <w:r w:rsidRPr="00174BE3">
        <w:rPr>
          <w:rFonts w:eastAsia="Times New Roman" w:cs="Calibri"/>
        </w:rPr>
        <w:t> </w:t>
      </w:r>
    </w:p>
    <w:p w14:paraId="54DA0C53"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Dear Sir / Madam, </w:t>
      </w:r>
    </w:p>
    <w:p w14:paraId="4C17B4AD"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I, the undersigned, offer to provide professional consulting services to UN Women within the scope of the referred Assignment. </w:t>
      </w:r>
    </w:p>
    <w:p w14:paraId="447B3999" w14:textId="77777777" w:rsidR="003820B9" w:rsidRDefault="003820B9" w:rsidP="003820B9">
      <w:pPr>
        <w:spacing w:after="0" w:line="240" w:lineRule="auto"/>
        <w:jc w:val="both"/>
        <w:textAlignment w:val="baseline"/>
        <w:rPr>
          <w:rFonts w:eastAsia="Times New Roman" w:cs="Calibri"/>
        </w:rPr>
      </w:pPr>
      <w:r w:rsidRPr="00174BE3">
        <w:rPr>
          <w:rFonts w:eastAsia="Times New Roman" w:cs="Calibri"/>
        </w:rPr>
        <w:t>Having examined, understood and agreed to the Terms of Reference and its annexes, the receipt of which are hereby duly acknowledged, I, the undersigned, offer to deliver professional services, in conformity with the Terms of Reference. </w:t>
      </w:r>
    </w:p>
    <w:p w14:paraId="465D79E0"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p>
    <w:p w14:paraId="0B19514F"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My maximum total price proposal for the assignment is given below: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65"/>
        <w:gridCol w:w="3240"/>
      </w:tblGrid>
      <w:tr w:rsidR="003820B9" w:rsidRPr="00174BE3" w14:paraId="31D9BC53" w14:textId="77777777" w:rsidTr="002638DB">
        <w:trPr>
          <w:trHeight w:val="780"/>
        </w:trPr>
        <w:tc>
          <w:tcPr>
            <w:tcW w:w="5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50E963" w14:textId="77777777" w:rsidR="003820B9" w:rsidRPr="00174BE3" w:rsidRDefault="003820B9" w:rsidP="002638DB">
            <w:pPr>
              <w:spacing w:after="0" w:line="240" w:lineRule="auto"/>
              <w:jc w:val="center"/>
              <w:textAlignment w:val="baseline"/>
              <w:rPr>
                <w:rFonts w:ascii="Times New Roman" w:eastAsia="Times New Roman" w:hAnsi="Times New Roman"/>
                <w:sz w:val="24"/>
                <w:szCs w:val="24"/>
              </w:rPr>
            </w:pPr>
            <w:r w:rsidRPr="00174BE3">
              <w:rPr>
                <w:rFonts w:eastAsia="Times New Roman" w:cs="Calibri"/>
                <w:b/>
                <w:bCs/>
              </w:rPr>
              <w:t>Deliverables</w:t>
            </w:r>
            <w:r w:rsidRPr="00174BE3">
              <w:rPr>
                <w:rFonts w:eastAsia="Times New Roman"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662D0" w14:textId="77777777" w:rsidR="003820B9" w:rsidRPr="00174BE3" w:rsidRDefault="003820B9" w:rsidP="002638DB">
            <w:pPr>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 xml:space="preserve">Unit (USD) </w:t>
            </w:r>
          </w:p>
        </w:tc>
      </w:tr>
      <w:tr w:rsidR="003820B9" w:rsidRPr="00174BE3" w14:paraId="713228C5" w14:textId="77777777" w:rsidTr="002638DB">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91A9240" w14:textId="77777777" w:rsidR="003820B9" w:rsidRPr="00174BE3" w:rsidRDefault="003820B9" w:rsidP="002638DB">
            <w:pPr>
              <w:spacing w:after="0" w:line="240" w:lineRule="auto"/>
              <w:textAlignment w:val="baseline"/>
              <w:rPr>
                <w:rFonts w:ascii="Times New Roman" w:eastAsia="Times New Roman" w:hAnsi="Times New Roman"/>
                <w:sz w:val="24"/>
                <w:szCs w:val="24"/>
              </w:rPr>
            </w:pPr>
            <w:r w:rsidRPr="00174BE3">
              <w:rPr>
                <w:rFonts w:eastAsia="Times New Roman" w:cs="Calibri"/>
                <w:b/>
                <w:bCs/>
              </w:rPr>
              <w:t>Daily fee all inclusive</w:t>
            </w:r>
            <w:r w:rsidRPr="00174BE3">
              <w:rPr>
                <w:rFonts w:eastAsia="Times New Roman"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5B694969" w14:textId="77777777" w:rsidR="003820B9" w:rsidRPr="00174BE3" w:rsidRDefault="003820B9" w:rsidP="002638DB">
            <w:pPr>
              <w:spacing w:after="0" w:line="240" w:lineRule="auto"/>
              <w:jc w:val="center"/>
              <w:textAlignment w:val="baseline"/>
              <w:rPr>
                <w:rFonts w:ascii="Times New Roman" w:eastAsia="Times New Roman" w:hAnsi="Times New Roman"/>
                <w:sz w:val="24"/>
                <w:szCs w:val="24"/>
              </w:rPr>
            </w:pPr>
            <w:r w:rsidRPr="00174BE3">
              <w:rPr>
                <w:rFonts w:eastAsia="Times New Roman" w:cs="Calibri"/>
              </w:rPr>
              <w:t> </w:t>
            </w:r>
          </w:p>
        </w:tc>
      </w:tr>
      <w:tr w:rsidR="003820B9" w:rsidRPr="00174BE3" w14:paraId="1DD00793" w14:textId="77777777" w:rsidTr="002638DB">
        <w:trPr>
          <w:trHeight w:val="615"/>
        </w:trPr>
        <w:tc>
          <w:tcPr>
            <w:tcW w:w="5865"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2C52EF6D" w14:textId="77777777" w:rsidR="003820B9" w:rsidRPr="00174BE3" w:rsidRDefault="003820B9" w:rsidP="002638DB">
            <w:pPr>
              <w:spacing w:after="0" w:line="240" w:lineRule="auto"/>
              <w:textAlignment w:val="baseline"/>
              <w:rPr>
                <w:rFonts w:ascii="Times New Roman" w:eastAsia="Times New Roman" w:hAnsi="Times New Roman"/>
                <w:sz w:val="24"/>
                <w:szCs w:val="24"/>
              </w:rPr>
            </w:pPr>
            <w:r w:rsidRPr="00174BE3">
              <w:rPr>
                <w:rFonts w:eastAsia="Times New Roman" w:cs="Calibri"/>
                <w:b/>
                <w:bCs/>
              </w:rPr>
              <w:t>Total price for working days</w:t>
            </w:r>
            <w:r w:rsidRPr="00174BE3">
              <w:rPr>
                <w:rFonts w:eastAsia="Times New Roman" w:cs="Calibri"/>
              </w:rPr>
              <w:t> </w:t>
            </w:r>
          </w:p>
        </w:tc>
        <w:tc>
          <w:tcPr>
            <w:tcW w:w="324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04B7E4C5" w14:textId="77777777" w:rsidR="003820B9" w:rsidRPr="00174BE3" w:rsidRDefault="003820B9" w:rsidP="002638DB">
            <w:pPr>
              <w:spacing w:after="0" w:line="240" w:lineRule="auto"/>
              <w:jc w:val="center"/>
              <w:textAlignment w:val="baseline"/>
              <w:rPr>
                <w:rFonts w:ascii="Times New Roman" w:eastAsia="Times New Roman" w:hAnsi="Times New Roman"/>
                <w:sz w:val="24"/>
                <w:szCs w:val="24"/>
              </w:rPr>
            </w:pPr>
            <w:r w:rsidRPr="00174BE3">
              <w:rPr>
                <w:rFonts w:eastAsia="Times New Roman" w:cs="Calibri"/>
              </w:rPr>
              <w:t> </w:t>
            </w:r>
          </w:p>
        </w:tc>
      </w:tr>
    </w:tbl>
    <w:p w14:paraId="50BF5A1C" w14:textId="77777777" w:rsidR="003820B9" w:rsidRDefault="003820B9" w:rsidP="003820B9">
      <w:pPr>
        <w:spacing w:after="0" w:line="240" w:lineRule="auto"/>
        <w:jc w:val="both"/>
        <w:textAlignment w:val="baseline"/>
        <w:rPr>
          <w:rFonts w:eastAsia="Times New Roman" w:cs="Calibri"/>
        </w:rPr>
      </w:pPr>
    </w:p>
    <w:p w14:paraId="57F0B77E"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I confirm that my financial proposal will remain unchanged. I also confirm that the price that I quote is </w:t>
      </w:r>
      <w:r w:rsidRPr="00174BE3">
        <w:rPr>
          <w:rFonts w:eastAsia="Times New Roman" w:cs="Calibri"/>
          <w:b/>
          <w:bCs/>
        </w:rPr>
        <w:t>gross</w:t>
      </w:r>
      <w:r w:rsidRPr="00174BE3">
        <w:rPr>
          <w:rFonts w:eastAsia="Times New Roman" w:cs="Calibri"/>
        </w:rPr>
        <w:t>, and is inclusive of all legal expenses, including but not limited to social security, income tax, pension, etc., which shall be required applicable laws. </w:t>
      </w:r>
    </w:p>
    <w:p w14:paraId="48BC3603"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I agree that my proposal shall remain binding upon me for 30 days. </w:t>
      </w:r>
    </w:p>
    <w:p w14:paraId="7770F7BD"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I understand that you are not bound to accept any proposal you may receive. </w:t>
      </w:r>
    </w:p>
    <w:p w14:paraId="43DD0805" w14:textId="77777777" w:rsidR="003820B9" w:rsidRPr="00174BE3" w:rsidRDefault="003820B9" w:rsidP="003820B9">
      <w:pPr>
        <w:spacing w:after="0" w:line="240" w:lineRule="auto"/>
        <w:textAlignment w:val="baseline"/>
        <w:rPr>
          <w:rFonts w:ascii="Segoe UI" w:eastAsia="Times New Roman" w:hAnsi="Segoe UI" w:cs="Segoe UI"/>
          <w:sz w:val="18"/>
          <w:szCs w:val="18"/>
        </w:rPr>
      </w:pPr>
      <w:r w:rsidRPr="00174BE3">
        <w:rPr>
          <w:rFonts w:eastAsia="Times New Roman" w:cs="Calibri"/>
        </w:rPr>
        <w:t>[Signature] </w:t>
      </w:r>
    </w:p>
    <w:p w14:paraId="1189731F" w14:textId="77777777" w:rsidR="003820B9" w:rsidRPr="00174BE3" w:rsidRDefault="003820B9" w:rsidP="003820B9">
      <w:pPr>
        <w:spacing w:after="0" w:line="240" w:lineRule="auto"/>
        <w:textAlignment w:val="baseline"/>
        <w:rPr>
          <w:rFonts w:ascii="Segoe UI" w:eastAsia="Times New Roman" w:hAnsi="Segoe UI" w:cs="Segoe UI"/>
          <w:sz w:val="18"/>
          <w:szCs w:val="18"/>
        </w:rPr>
      </w:pPr>
      <w:r w:rsidRPr="00174BE3">
        <w:rPr>
          <w:rFonts w:eastAsia="Times New Roman" w:cs="Calibri"/>
        </w:rPr>
        <w:t>Date: </w:t>
      </w:r>
    </w:p>
    <w:p w14:paraId="611234CA" w14:textId="77777777" w:rsidR="003820B9" w:rsidRPr="00174BE3" w:rsidRDefault="003820B9" w:rsidP="003820B9">
      <w:pPr>
        <w:spacing w:after="0" w:line="240" w:lineRule="auto"/>
        <w:textAlignment w:val="baseline"/>
        <w:rPr>
          <w:rFonts w:ascii="Segoe UI" w:eastAsia="Times New Roman" w:hAnsi="Segoe UI" w:cs="Segoe UI"/>
          <w:sz w:val="18"/>
          <w:szCs w:val="18"/>
        </w:rPr>
      </w:pPr>
      <w:r w:rsidRPr="00174BE3">
        <w:rPr>
          <w:rFonts w:eastAsia="Times New Roman" w:cs="Calibri"/>
        </w:rPr>
        <w:t>Name: </w:t>
      </w:r>
    </w:p>
    <w:p w14:paraId="128022FF" w14:textId="77777777" w:rsidR="003820B9" w:rsidRPr="00174BE3" w:rsidRDefault="003820B9" w:rsidP="003820B9">
      <w:pPr>
        <w:spacing w:after="0" w:line="240" w:lineRule="auto"/>
        <w:textAlignment w:val="baseline"/>
        <w:rPr>
          <w:rFonts w:ascii="Segoe UI" w:eastAsia="Times New Roman" w:hAnsi="Segoe UI" w:cs="Segoe UI"/>
          <w:sz w:val="18"/>
          <w:szCs w:val="18"/>
        </w:rPr>
      </w:pPr>
      <w:r w:rsidRPr="00174BE3">
        <w:rPr>
          <w:rFonts w:eastAsia="Times New Roman" w:cs="Calibri"/>
        </w:rPr>
        <w:t>Address: </w:t>
      </w:r>
    </w:p>
    <w:p w14:paraId="58CB3C8B" w14:textId="77777777" w:rsidR="003820B9" w:rsidRPr="00174BE3" w:rsidRDefault="003820B9" w:rsidP="003820B9">
      <w:pPr>
        <w:spacing w:after="0" w:line="240" w:lineRule="auto"/>
        <w:textAlignment w:val="baseline"/>
        <w:rPr>
          <w:rFonts w:ascii="Segoe UI" w:eastAsia="Times New Roman" w:hAnsi="Segoe UI" w:cs="Segoe UI"/>
          <w:sz w:val="18"/>
          <w:szCs w:val="18"/>
        </w:rPr>
      </w:pPr>
      <w:r w:rsidRPr="00174BE3">
        <w:rPr>
          <w:rFonts w:eastAsia="Times New Roman" w:cs="Calibri"/>
        </w:rPr>
        <w:t>Telephone/Fax: </w:t>
      </w:r>
    </w:p>
    <w:p w14:paraId="07DE8B46" w14:textId="77777777" w:rsidR="003820B9" w:rsidRPr="00174BE3" w:rsidRDefault="003820B9" w:rsidP="003820B9">
      <w:pPr>
        <w:spacing w:after="0" w:line="240" w:lineRule="auto"/>
        <w:jc w:val="both"/>
        <w:textAlignment w:val="baseline"/>
        <w:rPr>
          <w:rFonts w:ascii="Segoe UI" w:eastAsia="Times New Roman" w:hAnsi="Segoe UI" w:cs="Segoe UI"/>
          <w:sz w:val="18"/>
          <w:szCs w:val="18"/>
        </w:rPr>
      </w:pPr>
      <w:r w:rsidRPr="00174BE3">
        <w:rPr>
          <w:rFonts w:eastAsia="Times New Roman" w:cs="Calibri"/>
        </w:rPr>
        <w:t>Email: </w:t>
      </w:r>
    </w:p>
    <w:p w14:paraId="7F91A9AF" w14:textId="77777777" w:rsidR="003820B9" w:rsidRPr="00BD2381" w:rsidRDefault="003820B9" w:rsidP="003820B9">
      <w:pPr>
        <w:spacing w:line="240" w:lineRule="auto"/>
        <w:rPr>
          <w:lang w:val="en-CA" w:eastAsia="x-none"/>
        </w:rPr>
      </w:pPr>
    </w:p>
    <w:p w14:paraId="18C10D08" w14:textId="77777777" w:rsidR="00DA5A11" w:rsidRDefault="00DA5A11"/>
    <w:sectPr w:rsidR="00DA5A11" w:rsidSect="009503B5">
      <w:footerReference w:type="default" r:id="rId8"/>
      <w:pgSz w:w="12240" w:h="15840"/>
      <w:pgMar w:top="993" w:right="1440" w:bottom="1134" w:left="1440" w:header="720" w:footer="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93B1" w14:textId="77777777" w:rsidR="00195238" w:rsidRDefault="003820B9">
    <w:pPr>
      <w:pStyle w:val="Footer"/>
      <w:jc w:val="right"/>
    </w:pPr>
    <w:r>
      <w:fldChar w:fldCharType="begin"/>
    </w:r>
    <w:r>
      <w:instrText xml:space="preserve"> PAGE   \* MERGEFORMAT </w:instrText>
    </w:r>
    <w:r>
      <w:fldChar w:fldCharType="separate"/>
    </w:r>
    <w:r>
      <w:rPr>
        <w:noProof/>
      </w:rPr>
      <w:t>1</w:t>
    </w:r>
    <w:r>
      <w:fldChar w:fldCharType="end"/>
    </w:r>
  </w:p>
  <w:p w14:paraId="13599D2F" w14:textId="77777777" w:rsidR="00195238" w:rsidRDefault="003820B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B9"/>
    <w:rsid w:val="003820B9"/>
    <w:rsid w:val="00DA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92C7B"/>
  <w15:chartTrackingRefBased/>
  <w15:docId w15:val="{3599EAFA-7E7E-4544-978B-A0654C1B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0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20B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820B9"/>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7B1A53A1CB443825E8BF58B5986D6" ma:contentTypeVersion="13" ma:contentTypeDescription="Create a new document." ma:contentTypeScope="" ma:versionID="dfc7b611e1328894861ea8c0779d4ae1">
  <xsd:schema xmlns:xsd="http://www.w3.org/2001/XMLSchema" xmlns:xs="http://www.w3.org/2001/XMLSchema" xmlns:p="http://schemas.microsoft.com/office/2006/metadata/properties" xmlns:ns3="62a8ef06-a23a-4460-8dae-19200920c9cf" xmlns:ns4="0097d802-d476-4b75-9ecb-3ce9538c823d" targetNamespace="http://schemas.microsoft.com/office/2006/metadata/properties" ma:root="true" ma:fieldsID="3da4d53426140c14d3ae8fc7ec009fe5" ns3:_="" ns4:_="">
    <xsd:import namespace="62a8ef06-a23a-4460-8dae-19200920c9cf"/>
    <xsd:import namespace="0097d802-d476-4b75-9ecb-3ce9538c8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ef06-a23a-4460-8dae-19200920c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7d802-d476-4b75-9ecb-3ce9538c82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9623C-E4F8-44E3-B81D-A8118B0F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ef06-a23a-4460-8dae-19200920c9cf"/>
    <ds:schemaRef ds:uri="0097d802-d476-4b75-9ecb-3ce9538c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4F988-EFB5-4710-B6BB-6D225C2690BE}">
  <ds:schemaRefs>
    <ds:schemaRef ds:uri="http://schemas.microsoft.com/sharepoint/v3/contenttype/forms"/>
  </ds:schemaRefs>
</ds:datastoreItem>
</file>

<file path=customXml/itemProps3.xml><?xml version="1.0" encoding="utf-8"?>
<ds:datastoreItem xmlns:ds="http://schemas.openxmlformats.org/officeDocument/2006/customXml" ds:itemID="{E68C9116-C3C9-4F8D-8DE4-A9A5E13AD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Munteanu</dc:creator>
  <cp:keywords/>
  <dc:description/>
  <cp:lastModifiedBy>Olga Munteanu</cp:lastModifiedBy>
  <cp:revision>1</cp:revision>
  <dcterms:created xsi:type="dcterms:W3CDTF">2020-04-14T12:53:00Z</dcterms:created>
  <dcterms:modified xsi:type="dcterms:W3CDTF">2020-04-14T12:54:00Z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0x010100B2E7B1A53A1CB443825E8BF58B5986D6</vt:lpwstr>
  </property>
</Properties>
</file>