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E0D74" w14:textId="77777777" w:rsidR="00C27A9B" w:rsidRPr="00F6597C" w:rsidRDefault="00C27A9B" w:rsidP="00C27A9B">
      <w:pPr>
        <w:jc w:val="center"/>
        <w:rPr>
          <w:rFonts w:cstheme="minorHAnsi"/>
          <w:b/>
          <w:bCs/>
        </w:rPr>
      </w:pPr>
      <w:r w:rsidRPr="00F6597C">
        <w:rPr>
          <w:rFonts w:cstheme="minorHAnsi"/>
          <w:b/>
          <w:bCs/>
        </w:rPr>
        <w:t>TERMS OF REFERENCE</w:t>
      </w:r>
    </w:p>
    <w:p w14:paraId="70C05394" w14:textId="22E56578" w:rsidR="006A7B3E" w:rsidRPr="00F6597C" w:rsidRDefault="006A7B3E" w:rsidP="006A7B3E">
      <w:pPr>
        <w:spacing w:after="0"/>
        <w:jc w:val="center"/>
        <w:rPr>
          <w:rFonts w:cstheme="minorHAnsi"/>
          <w:b/>
          <w:bCs/>
        </w:rPr>
      </w:pPr>
      <w:r w:rsidRPr="00F6597C">
        <w:rPr>
          <w:rFonts w:cstheme="minorHAnsi"/>
          <w:b/>
          <w:bCs/>
        </w:rPr>
        <w:t>National Gender expert to undertake a Country Programme Evaluation (CPE) of UN Women Moldova Country Office (CO) Strategic Note (SN) 2018-2022.</w:t>
      </w:r>
    </w:p>
    <w:p w14:paraId="294BD9F6" w14:textId="77777777" w:rsidR="006A7B3E" w:rsidRPr="00F6597C" w:rsidRDefault="006A7B3E" w:rsidP="008E29B3">
      <w:pPr>
        <w:spacing w:after="0"/>
        <w:rPr>
          <w:rFonts w:cstheme="minorHAnsi"/>
          <w:b/>
          <w:bCs/>
        </w:rPr>
      </w:pPr>
    </w:p>
    <w:p w14:paraId="3E93F8E1" w14:textId="6BF6A90D" w:rsidR="00C27A9B" w:rsidRPr="00F6597C" w:rsidRDefault="00C27A9B" w:rsidP="008E29B3">
      <w:pPr>
        <w:spacing w:after="0"/>
        <w:rPr>
          <w:rFonts w:cstheme="minorHAnsi"/>
        </w:rPr>
      </w:pPr>
      <w:r w:rsidRPr="00F6597C">
        <w:rPr>
          <w:rFonts w:cstheme="minorHAnsi"/>
          <w:b/>
          <w:bCs/>
        </w:rPr>
        <w:t>Location</w:t>
      </w:r>
      <w:r w:rsidRPr="00F6597C">
        <w:rPr>
          <w:rFonts w:cstheme="minorHAnsi"/>
        </w:rPr>
        <w:t xml:space="preserve">: Chisinau, Moldova </w:t>
      </w:r>
    </w:p>
    <w:p w14:paraId="4A6100E4" w14:textId="09BB9689" w:rsidR="00C27A9B" w:rsidRPr="00F6597C" w:rsidRDefault="00C27A9B" w:rsidP="008E29B3">
      <w:pPr>
        <w:spacing w:after="0"/>
        <w:rPr>
          <w:rFonts w:cstheme="minorHAnsi"/>
        </w:rPr>
      </w:pPr>
      <w:r w:rsidRPr="00F6597C">
        <w:rPr>
          <w:rFonts w:cstheme="minorHAnsi"/>
          <w:b/>
          <w:bCs/>
        </w:rPr>
        <w:t>Application Deadline</w:t>
      </w:r>
      <w:r w:rsidRPr="00F6597C">
        <w:rPr>
          <w:rFonts w:cstheme="minorHAnsi"/>
        </w:rPr>
        <w:t>:</w:t>
      </w:r>
      <w:r w:rsidR="00E25AC8" w:rsidRPr="00F6597C">
        <w:rPr>
          <w:rFonts w:cstheme="minorHAnsi"/>
        </w:rPr>
        <w:t xml:space="preserve">   </w:t>
      </w:r>
      <w:r w:rsidR="005E3D70" w:rsidRPr="000C1421">
        <w:rPr>
          <w:rFonts w:cstheme="minorHAnsi"/>
        </w:rPr>
        <w:t xml:space="preserve">August </w:t>
      </w:r>
      <w:r w:rsidR="000C1421" w:rsidRPr="000C1421">
        <w:rPr>
          <w:rFonts w:cstheme="minorHAnsi"/>
        </w:rPr>
        <w:t>1</w:t>
      </w:r>
      <w:r w:rsidR="005E3D70" w:rsidRPr="000C1421">
        <w:rPr>
          <w:rFonts w:cstheme="minorHAnsi"/>
        </w:rPr>
        <w:t>6</w:t>
      </w:r>
      <w:r w:rsidRPr="000C1421">
        <w:rPr>
          <w:rFonts w:cstheme="minorHAnsi"/>
        </w:rPr>
        <w:t>, 2021</w:t>
      </w:r>
    </w:p>
    <w:p w14:paraId="614F3758" w14:textId="407ADB27" w:rsidR="00C27A9B" w:rsidRPr="00F6597C" w:rsidRDefault="00C27A9B" w:rsidP="008E29B3">
      <w:pPr>
        <w:spacing w:after="0"/>
        <w:rPr>
          <w:rFonts w:cstheme="minorHAnsi"/>
        </w:rPr>
      </w:pPr>
      <w:r w:rsidRPr="00F6597C">
        <w:rPr>
          <w:rFonts w:cstheme="minorHAnsi"/>
          <w:b/>
          <w:bCs/>
        </w:rPr>
        <w:t>Type of Contract</w:t>
      </w:r>
      <w:r w:rsidRPr="00F6597C">
        <w:rPr>
          <w:rFonts w:cstheme="minorHAnsi"/>
        </w:rPr>
        <w:t>:</w:t>
      </w:r>
      <w:r w:rsidR="00E25AC8" w:rsidRPr="00F6597C">
        <w:rPr>
          <w:rFonts w:cstheme="minorHAnsi"/>
        </w:rPr>
        <w:t xml:space="preserve"> </w:t>
      </w:r>
      <w:r w:rsidR="001E5445" w:rsidRPr="00F6597C">
        <w:rPr>
          <w:rFonts w:cstheme="minorHAnsi"/>
        </w:rPr>
        <w:t xml:space="preserve">Special Service </w:t>
      </w:r>
      <w:r w:rsidR="000B22AE" w:rsidRPr="00F6597C">
        <w:rPr>
          <w:rFonts w:cstheme="minorHAnsi"/>
        </w:rPr>
        <w:t xml:space="preserve">Agreement- SSA </w:t>
      </w:r>
    </w:p>
    <w:p w14:paraId="7E941F2E" w14:textId="7FF98C0E" w:rsidR="00C27A9B" w:rsidRPr="00F6597C" w:rsidRDefault="00C27A9B" w:rsidP="008E29B3">
      <w:pPr>
        <w:spacing w:after="0"/>
        <w:rPr>
          <w:rFonts w:cstheme="minorHAnsi"/>
        </w:rPr>
      </w:pPr>
      <w:r w:rsidRPr="00F6597C">
        <w:rPr>
          <w:rFonts w:cstheme="minorHAnsi"/>
          <w:b/>
          <w:bCs/>
        </w:rPr>
        <w:t>Languages Required</w:t>
      </w:r>
      <w:r w:rsidRPr="00F6597C">
        <w:rPr>
          <w:rFonts w:cstheme="minorHAnsi"/>
        </w:rPr>
        <w:t>:</w:t>
      </w:r>
      <w:r w:rsidR="00E25AC8" w:rsidRPr="00F6597C">
        <w:rPr>
          <w:rFonts w:cstheme="minorHAnsi"/>
        </w:rPr>
        <w:t xml:space="preserve"> </w:t>
      </w:r>
      <w:r w:rsidRPr="00F6597C">
        <w:rPr>
          <w:rFonts w:cstheme="minorHAnsi"/>
        </w:rPr>
        <w:t xml:space="preserve">Fluent English, </w:t>
      </w:r>
      <w:r w:rsidR="003C42E0" w:rsidRPr="00F6597C">
        <w:rPr>
          <w:rFonts w:cstheme="minorHAnsi"/>
        </w:rPr>
        <w:t xml:space="preserve">and </w:t>
      </w:r>
      <w:r w:rsidR="00423BCE" w:rsidRPr="00F6597C">
        <w:rPr>
          <w:rFonts w:cstheme="minorHAnsi"/>
        </w:rPr>
        <w:t>Romanian (</w:t>
      </w:r>
      <w:r w:rsidRPr="00F6597C">
        <w:rPr>
          <w:rFonts w:cstheme="minorHAnsi"/>
        </w:rPr>
        <w:t>Russian</w:t>
      </w:r>
      <w:r w:rsidR="00423BCE" w:rsidRPr="00F6597C">
        <w:rPr>
          <w:rFonts w:cstheme="minorHAnsi"/>
        </w:rPr>
        <w:t xml:space="preserve"> an assets)</w:t>
      </w:r>
      <w:r w:rsidR="003C42E0" w:rsidRPr="00F6597C">
        <w:rPr>
          <w:rFonts w:cstheme="minorHAnsi"/>
        </w:rPr>
        <w:t xml:space="preserve"> </w:t>
      </w:r>
    </w:p>
    <w:p w14:paraId="3CDD80FD" w14:textId="2E2D16C1" w:rsidR="00C27A9B" w:rsidRPr="00F6597C" w:rsidRDefault="00C27A9B" w:rsidP="008E29B3">
      <w:pPr>
        <w:spacing w:after="0"/>
        <w:rPr>
          <w:rFonts w:cstheme="minorHAnsi"/>
        </w:rPr>
      </w:pPr>
      <w:r w:rsidRPr="00F6597C">
        <w:rPr>
          <w:rFonts w:cstheme="minorHAnsi"/>
          <w:b/>
          <w:bCs/>
        </w:rPr>
        <w:t>Expected Duration of Assignment</w:t>
      </w:r>
      <w:r w:rsidRPr="00F6597C">
        <w:rPr>
          <w:rFonts w:cstheme="minorHAnsi"/>
        </w:rPr>
        <w:t>:</w:t>
      </w:r>
      <w:r w:rsidR="00E25AC8" w:rsidRPr="00F6597C">
        <w:rPr>
          <w:rFonts w:cstheme="minorHAnsi"/>
        </w:rPr>
        <w:t xml:space="preserve"> </w:t>
      </w:r>
      <w:r w:rsidR="002E26FD" w:rsidRPr="00F6597C">
        <w:rPr>
          <w:rFonts w:cstheme="minorHAnsi"/>
        </w:rPr>
        <w:t xml:space="preserve">September </w:t>
      </w:r>
      <w:r w:rsidR="00E25AC8" w:rsidRPr="00F6597C">
        <w:rPr>
          <w:rFonts w:cstheme="minorHAnsi"/>
        </w:rPr>
        <w:t>2021</w:t>
      </w:r>
      <w:r w:rsidRPr="00F6597C">
        <w:rPr>
          <w:rFonts w:cstheme="minorHAnsi"/>
        </w:rPr>
        <w:t xml:space="preserve"> – </w:t>
      </w:r>
      <w:r w:rsidR="002E26FD" w:rsidRPr="00F6597C">
        <w:rPr>
          <w:rFonts w:cstheme="minorHAnsi"/>
        </w:rPr>
        <w:t>March</w:t>
      </w:r>
      <w:r w:rsidRPr="00F6597C">
        <w:rPr>
          <w:rFonts w:cstheme="minorHAnsi"/>
        </w:rPr>
        <w:t xml:space="preserve"> 202</w:t>
      </w:r>
      <w:r w:rsidR="00E25AC8" w:rsidRPr="00F6597C">
        <w:rPr>
          <w:rFonts w:cstheme="minorHAnsi"/>
        </w:rPr>
        <w:t>2</w:t>
      </w:r>
      <w:r w:rsidRPr="00F6597C">
        <w:rPr>
          <w:rFonts w:cstheme="minorHAnsi"/>
        </w:rPr>
        <w:t xml:space="preserve"> </w:t>
      </w:r>
    </w:p>
    <w:p w14:paraId="3FCCAE60" w14:textId="77777777" w:rsidR="008E29B3" w:rsidRPr="00F6597C" w:rsidRDefault="008E29B3" w:rsidP="00C27A9B">
      <w:pPr>
        <w:rPr>
          <w:rFonts w:cstheme="minorHAnsi"/>
        </w:rPr>
      </w:pPr>
    </w:p>
    <w:p w14:paraId="18AA422E" w14:textId="0B19BF61" w:rsidR="00C27A9B" w:rsidRPr="00F6597C" w:rsidRDefault="00C27A9B" w:rsidP="00C27A9B">
      <w:pPr>
        <w:rPr>
          <w:rFonts w:cstheme="minorHAnsi"/>
          <w:b/>
          <w:bCs/>
        </w:rPr>
      </w:pPr>
      <w:r w:rsidRPr="00F6597C">
        <w:rPr>
          <w:rFonts w:cstheme="minorHAnsi"/>
          <w:b/>
          <w:bCs/>
        </w:rPr>
        <w:t xml:space="preserve">I. Background </w:t>
      </w:r>
    </w:p>
    <w:p w14:paraId="56B99123" w14:textId="5DA2853A" w:rsidR="00C27A9B" w:rsidRPr="00F6597C" w:rsidRDefault="00C27A9B" w:rsidP="00595635">
      <w:pPr>
        <w:jc w:val="both"/>
        <w:rPr>
          <w:rFonts w:cstheme="minorHAnsi"/>
        </w:rPr>
      </w:pPr>
      <w:r w:rsidRPr="00F6597C">
        <w:rPr>
          <w:rFonts w:cstheme="minorHAnsi"/>
        </w:rPr>
        <w:t xml:space="preserve">UN Women's mandate (GA resolution 64/289) is to lead, coordinate and promote accountability of the UN system to deliver on gender equality and the empowerment of women with the primary objective of enhancing country-level coherence, ensuring coordinated </w:t>
      </w:r>
      <w:r w:rsidR="00972CD2" w:rsidRPr="00F6597C">
        <w:rPr>
          <w:rFonts w:cstheme="minorHAnsi"/>
        </w:rPr>
        <w:t>interventions,</w:t>
      </w:r>
      <w:r w:rsidRPr="00F6597C">
        <w:rPr>
          <w:rFonts w:cstheme="minorHAnsi"/>
        </w:rPr>
        <w:t xml:space="preserve"> and securing positive impacts on the lives of women and girls, including those living in rural areas.</w:t>
      </w:r>
    </w:p>
    <w:p w14:paraId="2801CEEC" w14:textId="69A1185C" w:rsidR="00C27A9B" w:rsidRPr="00F6597C" w:rsidRDefault="00C27A9B" w:rsidP="00595635">
      <w:pPr>
        <w:jc w:val="both"/>
        <w:rPr>
          <w:rFonts w:cstheme="minorHAnsi"/>
        </w:rPr>
      </w:pPr>
      <w:r w:rsidRPr="00F6597C">
        <w:rPr>
          <w:rFonts w:cstheme="minorHAnsi"/>
        </w:rPr>
        <w:t xml:space="preserve">The Country Office (CO) Strategic Note (SN) is the main planning tool for UN Women’s support to normative, coordination and operational work in the Republic of </w:t>
      </w:r>
      <w:r w:rsidR="008E29B3" w:rsidRPr="00F6597C">
        <w:rPr>
          <w:rFonts w:cstheme="minorHAnsi"/>
        </w:rPr>
        <w:t>Moldova (Moldova)</w:t>
      </w:r>
      <w:r w:rsidRPr="00F6597C">
        <w:rPr>
          <w:rFonts w:cstheme="minorHAnsi"/>
        </w:rPr>
        <w:t xml:space="preserve">. UN Women (previously as UNIFEM) has implemented catalytic initiatives on promoting women’s human, economic, political and social rights in </w:t>
      </w:r>
      <w:r w:rsidR="008E29B3" w:rsidRPr="00F6597C">
        <w:rPr>
          <w:rFonts w:cstheme="minorHAnsi"/>
        </w:rPr>
        <w:t xml:space="preserve">Moldova </w:t>
      </w:r>
      <w:r w:rsidRPr="00F6597C">
        <w:rPr>
          <w:rFonts w:cstheme="minorHAnsi"/>
        </w:rPr>
        <w:t>since</w:t>
      </w:r>
      <w:r w:rsidR="00296A2B" w:rsidRPr="00F6597C">
        <w:rPr>
          <w:rFonts w:cstheme="minorHAnsi"/>
        </w:rPr>
        <w:t xml:space="preserve"> 2007 </w:t>
      </w:r>
      <w:r w:rsidR="00E36DA7" w:rsidRPr="00F6597C">
        <w:rPr>
          <w:rFonts w:cstheme="minorHAnsi"/>
        </w:rPr>
        <w:t xml:space="preserve">and </w:t>
      </w:r>
      <w:r w:rsidR="00B55BD9" w:rsidRPr="00F6597C">
        <w:rPr>
          <w:rFonts w:cstheme="minorHAnsi"/>
        </w:rPr>
        <w:t>has evolved from being a project-based to a Country Office with full delegated authority as of 2015. Currently, UN Women Moldova Country Office is  implementing its second  </w:t>
      </w:r>
      <w:hyperlink r:id="rId11" w:history="1">
        <w:r w:rsidR="00B55BD9" w:rsidRPr="00F6597C">
          <w:rPr>
            <w:rStyle w:val="Hyperlink"/>
            <w:rFonts w:cstheme="minorHAnsi"/>
          </w:rPr>
          <w:t>Strategic Note (SN) for 2018-2022</w:t>
        </w:r>
      </w:hyperlink>
      <w:r w:rsidR="00B55BD9" w:rsidRPr="00F6597C">
        <w:rPr>
          <w:rFonts w:cstheme="minorHAnsi"/>
        </w:rPr>
        <w:t>, which is aligned with </w:t>
      </w:r>
      <w:hyperlink r:id="rId12" w:history="1">
        <w:r w:rsidR="00B55BD9" w:rsidRPr="00F6597C">
          <w:rPr>
            <w:rStyle w:val="Hyperlink"/>
            <w:rFonts w:cstheme="minorHAnsi"/>
          </w:rPr>
          <w:t>the Republic of Moldova-United Nations Partnership Framework for Sustainable Development 2018-2022</w:t>
        </w:r>
      </w:hyperlink>
      <w:r w:rsidR="00B55BD9" w:rsidRPr="00F6597C">
        <w:rPr>
          <w:rFonts w:cstheme="minorHAnsi"/>
        </w:rPr>
        <w:t> and </w:t>
      </w:r>
      <w:hyperlink r:id="rId13" w:history="1">
        <w:r w:rsidR="00B55BD9" w:rsidRPr="00F6597C">
          <w:rPr>
            <w:rStyle w:val="Hyperlink"/>
            <w:rFonts w:cstheme="minorHAnsi"/>
          </w:rPr>
          <w:t>the Global Strategic Plan of UN Women.</w:t>
        </w:r>
      </w:hyperlink>
      <w:r w:rsidR="00B55BD9" w:rsidRPr="00F6597C">
        <w:rPr>
          <w:rFonts w:cstheme="minorHAnsi"/>
        </w:rPr>
        <w:t xml:space="preserve"> </w:t>
      </w:r>
      <w:r w:rsidRPr="00F6597C">
        <w:rPr>
          <w:rFonts w:cstheme="minorHAnsi"/>
        </w:rPr>
        <w:t xml:space="preserve">This evaluation will </w:t>
      </w:r>
      <w:r w:rsidR="007267BB" w:rsidRPr="00F6597C">
        <w:rPr>
          <w:rFonts w:cstheme="minorHAnsi"/>
        </w:rPr>
        <w:t xml:space="preserve">assess </w:t>
      </w:r>
      <w:r w:rsidRPr="00F6597C">
        <w:rPr>
          <w:rFonts w:cstheme="minorHAnsi"/>
        </w:rPr>
        <w:t>the current Strategic Note covering the period 201</w:t>
      </w:r>
      <w:r w:rsidR="00B55BD9" w:rsidRPr="00F6597C">
        <w:rPr>
          <w:rFonts w:cstheme="minorHAnsi"/>
        </w:rPr>
        <w:t>8</w:t>
      </w:r>
      <w:r w:rsidRPr="00F6597C">
        <w:rPr>
          <w:rFonts w:cstheme="minorHAnsi"/>
        </w:rPr>
        <w:t>-202</w:t>
      </w:r>
      <w:r w:rsidR="00B55BD9" w:rsidRPr="00F6597C">
        <w:rPr>
          <w:rFonts w:cstheme="minorHAnsi"/>
        </w:rPr>
        <w:t>2</w:t>
      </w:r>
      <w:r w:rsidR="007267BB" w:rsidRPr="00F6597C">
        <w:rPr>
          <w:rFonts w:cstheme="minorHAnsi"/>
        </w:rPr>
        <w:t xml:space="preserve"> and will inform</w:t>
      </w:r>
      <w:r w:rsidRPr="00F6597C">
        <w:rPr>
          <w:rFonts w:cstheme="minorHAnsi"/>
        </w:rPr>
        <w:t xml:space="preserve"> </w:t>
      </w:r>
      <w:r w:rsidR="007267BB" w:rsidRPr="00F6597C">
        <w:rPr>
          <w:rFonts w:cstheme="minorHAnsi"/>
        </w:rPr>
        <w:t>UN Women Moldova CO</w:t>
      </w:r>
      <w:r w:rsidRPr="00F6597C">
        <w:rPr>
          <w:rFonts w:cstheme="minorHAnsi"/>
        </w:rPr>
        <w:t xml:space="preserve"> new Strategic Note</w:t>
      </w:r>
      <w:r w:rsidR="007267BB" w:rsidRPr="00F6597C">
        <w:rPr>
          <w:rFonts w:cstheme="minorHAnsi"/>
        </w:rPr>
        <w:t>,</w:t>
      </w:r>
      <w:r w:rsidRPr="00F6597C">
        <w:rPr>
          <w:rFonts w:cstheme="minorHAnsi"/>
        </w:rPr>
        <w:t xml:space="preserve"> due to be </w:t>
      </w:r>
      <w:r w:rsidR="00B55BD9" w:rsidRPr="00F6597C">
        <w:rPr>
          <w:rFonts w:cstheme="minorHAnsi"/>
        </w:rPr>
        <w:t>approved by the end of 2022</w:t>
      </w:r>
      <w:r w:rsidRPr="00F6597C">
        <w:rPr>
          <w:rFonts w:cstheme="minorHAnsi"/>
        </w:rPr>
        <w:t>.</w:t>
      </w:r>
    </w:p>
    <w:p w14:paraId="686BFA17" w14:textId="24CF4555" w:rsidR="00C27A9B" w:rsidRPr="00F6597C" w:rsidRDefault="00C27A9B" w:rsidP="00595635">
      <w:pPr>
        <w:jc w:val="both"/>
        <w:rPr>
          <w:rFonts w:cstheme="minorHAnsi"/>
        </w:rPr>
      </w:pPr>
      <w:r w:rsidRPr="00F6597C">
        <w:rPr>
          <w:rFonts w:cstheme="minorHAnsi"/>
        </w:rPr>
        <w:t xml:space="preserve">The </w:t>
      </w:r>
      <w:r w:rsidR="007267BB" w:rsidRPr="00F6597C">
        <w:rPr>
          <w:rFonts w:cstheme="minorHAnsi"/>
        </w:rPr>
        <w:t xml:space="preserve">current Moldova CO </w:t>
      </w:r>
      <w:r w:rsidRPr="00F6597C">
        <w:rPr>
          <w:rFonts w:cstheme="minorHAnsi"/>
        </w:rPr>
        <w:t>Strategic Note is grounded</w:t>
      </w:r>
      <w:r w:rsidR="007032A7" w:rsidRPr="00F6597C">
        <w:rPr>
          <w:rFonts w:cstheme="minorHAnsi"/>
        </w:rPr>
        <w:t xml:space="preserve"> </w:t>
      </w:r>
      <w:r w:rsidR="00E13621" w:rsidRPr="00F6597C">
        <w:rPr>
          <w:rFonts w:cstheme="minorHAnsi"/>
        </w:rPr>
        <w:t>and aligned</w:t>
      </w:r>
      <w:r w:rsidR="00595635" w:rsidRPr="00F6597C">
        <w:rPr>
          <w:rFonts w:cstheme="minorHAnsi"/>
          <w:lang w:val="en-GB"/>
        </w:rPr>
        <w:t xml:space="preserve"> with  the National Strategy on Gender Equality for 2017-2021, and draft National Strategy on Preventing and Combating Violence against Women and Domestic Violence 2017-2021. It is also based on the latest recommendations by international human rights treaty bodies: CEDAW (2013 Concluding Observations), UPR recommendations (2016), UN Human Rights Committee (under International Covenant on Civil and Political Rights (2016 Recommendations), Committee on the Rights of Persons with Disability (2017 Concluding Observations). </w:t>
      </w:r>
      <w:r w:rsidRPr="00F6597C">
        <w:rPr>
          <w:rFonts w:cstheme="minorHAnsi"/>
        </w:rPr>
        <w:t xml:space="preserve"> </w:t>
      </w:r>
      <w:r w:rsidR="00B55BD9" w:rsidRPr="00F6597C">
        <w:rPr>
          <w:rFonts w:cstheme="minorHAnsi"/>
          <w:color w:val="666666"/>
        </w:rPr>
        <w:t> </w:t>
      </w:r>
      <w:r w:rsidR="00B55BD9" w:rsidRPr="00F6597C">
        <w:rPr>
          <w:rFonts w:cstheme="minorHAnsi"/>
        </w:rPr>
        <w:t>The SN 2018-2022 aims at advancing progress under the following three Impact Areas (IA): </w:t>
      </w:r>
      <w:r w:rsidR="00B55BD9" w:rsidRPr="00F6597C">
        <w:rPr>
          <w:rFonts w:cstheme="minorHAnsi"/>
          <w:i/>
          <w:iCs/>
        </w:rPr>
        <w:t>IA1: More women from diverse groups fully participate and lead in governance processes and institutions, IA2: Women have income security, decent work and economic autonomy, IA3: Public authorities, institutions and communities prevent violence against women and girls and deliver quality essential services.</w:t>
      </w:r>
    </w:p>
    <w:p w14:paraId="63333C7A" w14:textId="306A7881" w:rsidR="004069D0" w:rsidRPr="00F6597C" w:rsidRDefault="004069D0" w:rsidP="004069D0">
      <w:pPr>
        <w:rPr>
          <w:rFonts w:cstheme="minorHAnsi"/>
          <w:b/>
          <w:bCs/>
        </w:rPr>
      </w:pPr>
      <w:r w:rsidRPr="00F6597C">
        <w:rPr>
          <w:rFonts w:cstheme="minorHAnsi"/>
          <w:b/>
          <w:bCs/>
        </w:rPr>
        <w:t>I</w:t>
      </w:r>
      <w:r w:rsidR="00A66D7B">
        <w:rPr>
          <w:rFonts w:cstheme="minorHAnsi"/>
          <w:b/>
          <w:bCs/>
        </w:rPr>
        <w:t>I</w:t>
      </w:r>
      <w:r w:rsidRPr="00F6597C">
        <w:rPr>
          <w:rFonts w:cstheme="minorHAnsi"/>
          <w:b/>
          <w:bCs/>
        </w:rPr>
        <w:t>. Country Portfolio Evaluation purpose, objectives and use</w:t>
      </w:r>
    </w:p>
    <w:p w14:paraId="3FA3F7AD" w14:textId="77777777" w:rsidR="004069D0" w:rsidRPr="00F6597C" w:rsidRDefault="004069D0" w:rsidP="004069D0">
      <w:pPr>
        <w:jc w:val="both"/>
        <w:rPr>
          <w:rFonts w:cstheme="minorHAnsi"/>
        </w:rPr>
      </w:pPr>
      <w:r w:rsidRPr="00F6597C">
        <w:rPr>
          <w:rFonts w:cstheme="minorHAnsi"/>
        </w:rPr>
        <w:t xml:space="preserve">Evaluation in UN Women is guided by the normative agreements described below to be gender-responsive and utilizes the entity’s strategic plan as a starting point for identifying the expected outcomes </w:t>
      </w:r>
      <w:r w:rsidRPr="00F6597C">
        <w:rPr>
          <w:rFonts w:cstheme="minorHAnsi"/>
        </w:rPr>
        <w:lastRenderedPageBreak/>
        <w:t xml:space="preserve">and impacts of its work and for measuring progress towards the achievement of results. </w:t>
      </w:r>
      <w:hyperlink r:id="rId14" w:history="1">
        <w:r w:rsidRPr="00F6597C">
          <w:rPr>
            <w:rStyle w:val="Hyperlink"/>
            <w:rFonts w:cstheme="minorHAnsi"/>
          </w:rPr>
          <w:t>The UN Women Evaluation Policy</w:t>
        </w:r>
      </w:hyperlink>
      <w:r w:rsidRPr="00F6597C">
        <w:rPr>
          <w:rFonts w:cstheme="minorHAnsi"/>
        </w:rPr>
        <w:t xml:space="preserve">, </w:t>
      </w:r>
      <w:hyperlink r:id="rId15" w:history="1">
        <w:r w:rsidRPr="00F6597C">
          <w:rPr>
            <w:rStyle w:val="Hyperlink"/>
            <w:rFonts w:cstheme="minorHAnsi"/>
          </w:rPr>
          <w:t>UN Women Evaluation Strategy 2018-2021</w:t>
        </w:r>
      </w:hyperlink>
      <w:r w:rsidRPr="00F6597C">
        <w:rPr>
          <w:rFonts w:cstheme="minorHAnsi"/>
        </w:rPr>
        <w:t xml:space="preserve">  are the main guiding documents that set forth the principles and organizational framework for evaluation planning, conduct and follow-up in UN Women. These principles are aligned with the </w:t>
      </w:r>
      <w:hyperlink r:id="rId16" w:history="1">
        <w:r w:rsidRPr="00F6597C">
          <w:rPr>
            <w:rStyle w:val="Hyperlink"/>
            <w:rFonts w:cstheme="minorHAnsi"/>
          </w:rPr>
          <w:t>United Nations Evaluation Group (UNEG) Norms for Evaluation in the UN System</w:t>
        </w:r>
      </w:hyperlink>
      <w:r w:rsidRPr="00F6597C">
        <w:rPr>
          <w:rFonts w:cstheme="minorHAnsi"/>
        </w:rPr>
        <w:t xml:space="preserve">, and </w:t>
      </w:r>
      <w:hyperlink r:id="rId17" w:history="1">
        <w:r w:rsidRPr="00F6597C">
          <w:rPr>
            <w:rStyle w:val="Hyperlink"/>
            <w:rFonts w:cstheme="minorHAnsi"/>
          </w:rPr>
          <w:t>Ethical Guidelines</w:t>
        </w:r>
      </w:hyperlink>
      <w:r w:rsidRPr="00F6597C">
        <w:rPr>
          <w:rFonts w:cstheme="minorHAnsi"/>
        </w:rPr>
        <w:t>.</w:t>
      </w:r>
    </w:p>
    <w:p w14:paraId="10617C25" w14:textId="01A85C9E" w:rsidR="004069D0" w:rsidRPr="00F6597C" w:rsidRDefault="004069D0" w:rsidP="74B95E71">
      <w:pPr>
        <w:jc w:val="both"/>
      </w:pPr>
      <w:r w:rsidRPr="74B95E71">
        <w:t xml:space="preserve">Country Portfolio Evaluation (CPE) is a systematic assessment of the contributions made by UN Women to development results with respect to gender equality at the country level. The UN Women portfolio responds to </w:t>
      </w:r>
      <w:r w:rsidR="1449D44F" w:rsidRPr="74B95E71">
        <w:t xml:space="preserve">the Entity triple </w:t>
      </w:r>
      <w:r w:rsidRPr="74B95E71">
        <w:t>mandate, which include normative, operation and coordination work. The CPE focuses on their individual and combined success in advancing gender equality in Moldova. It uses the Strategic Note as the main point of reference.</w:t>
      </w:r>
    </w:p>
    <w:p w14:paraId="06E4582F" w14:textId="77777777" w:rsidR="004069D0" w:rsidRPr="00F6597C" w:rsidRDefault="004069D0" w:rsidP="004069D0">
      <w:pPr>
        <w:jc w:val="both"/>
        <w:rPr>
          <w:rFonts w:cstheme="minorHAnsi"/>
        </w:rPr>
      </w:pPr>
      <w:r w:rsidRPr="00F6597C">
        <w:rPr>
          <w:rFonts w:cstheme="minorHAnsi"/>
        </w:rPr>
        <w:t>It is a priority for UN Women that the CPE will be gender-responsive and will actively support the achievement of gender equality and women’s empowerment. The key principles for gender-responsive evaluation at UN Women are: 1) National ownership and leadership; 2) UN system coordination and coherence with regard to gender equality and the empowerment of women; 3) Innovation; 4) Fair power relations and empowerment; 5) Participation and inclusion; 6) Independence and impartiality; 7) Transparency; 8) Quality and credibility; 9) Intentionality and use of evaluation; and 10) Ethics.</w:t>
      </w:r>
    </w:p>
    <w:p w14:paraId="0117B428" w14:textId="77777777" w:rsidR="004069D0" w:rsidRPr="00F6597C" w:rsidRDefault="004069D0" w:rsidP="004069D0">
      <w:pPr>
        <w:jc w:val="both"/>
        <w:rPr>
          <w:rFonts w:cstheme="minorHAnsi"/>
        </w:rPr>
      </w:pPr>
      <w:r w:rsidRPr="00F6597C">
        <w:rPr>
          <w:rFonts w:cstheme="minorHAnsi"/>
        </w:rPr>
        <w:t>This CPE is being commissioned by the UN Women Independent Evaluation Service in close collaboration with UN Women Moldova Country Office as a primarily formative (forward-looking) evaluation to support the Country Office and national stakeholders’ strategic learning and decision-making for the next Strategic Note, due to be developed in 2022. The evaluation is expected to have a secondary summative (backwards looking) perspective, to support enhanced accountability for development effectiveness and learning from experience.</w:t>
      </w:r>
    </w:p>
    <w:p w14:paraId="05671509" w14:textId="77777777" w:rsidR="004069D0" w:rsidRPr="00F6597C" w:rsidRDefault="004069D0" w:rsidP="004069D0">
      <w:pPr>
        <w:rPr>
          <w:rFonts w:cstheme="minorHAnsi"/>
        </w:rPr>
      </w:pPr>
      <w:r w:rsidRPr="00F6597C">
        <w:rPr>
          <w:rFonts w:cstheme="minorHAnsi"/>
        </w:rPr>
        <w:t>The primary intended users of this evaluation are:</w:t>
      </w:r>
    </w:p>
    <w:p w14:paraId="5E9EBE14" w14:textId="77777777" w:rsidR="004069D0" w:rsidRPr="00F6597C" w:rsidRDefault="004069D0" w:rsidP="004069D0">
      <w:pPr>
        <w:spacing w:after="0"/>
        <w:rPr>
          <w:rFonts w:cstheme="minorHAnsi"/>
        </w:rPr>
      </w:pPr>
      <w:r w:rsidRPr="00F6597C">
        <w:rPr>
          <w:rFonts w:cstheme="minorHAnsi"/>
        </w:rPr>
        <w:t>• UN Women Moldova CO, Regional ECA Office, and UN Women HQ</w:t>
      </w:r>
    </w:p>
    <w:p w14:paraId="0AEEF95E" w14:textId="77777777" w:rsidR="004069D0" w:rsidRPr="00F6597C" w:rsidRDefault="004069D0" w:rsidP="004069D0">
      <w:pPr>
        <w:spacing w:after="0"/>
        <w:rPr>
          <w:rFonts w:cstheme="minorHAnsi"/>
        </w:rPr>
      </w:pPr>
      <w:r w:rsidRPr="00F6597C">
        <w:rPr>
          <w:rFonts w:cstheme="minorHAnsi"/>
        </w:rPr>
        <w:t>• Target groups, their households and community members, programme/project partners</w:t>
      </w:r>
    </w:p>
    <w:p w14:paraId="0CE13530" w14:textId="77777777" w:rsidR="004069D0" w:rsidRPr="00F6597C" w:rsidRDefault="004069D0" w:rsidP="004069D0">
      <w:pPr>
        <w:spacing w:after="0"/>
        <w:rPr>
          <w:rFonts w:cstheme="minorHAnsi"/>
        </w:rPr>
      </w:pPr>
      <w:r w:rsidRPr="00F6597C">
        <w:rPr>
          <w:rFonts w:cstheme="minorHAnsi"/>
        </w:rPr>
        <w:t>• National government institutions</w:t>
      </w:r>
    </w:p>
    <w:p w14:paraId="36C22218" w14:textId="77777777" w:rsidR="004069D0" w:rsidRPr="00F6597C" w:rsidRDefault="004069D0" w:rsidP="004069D0">
      <w:pPr>
        <w:spacing w:after="0"/>
        <w:rPr>
          <w:rFonts w:cstheme="minorHAnsi"/>
        </w:rPr>
      </w:pPr>
      <w:r w:rsidRPr="00F6597C">
        <w:rPr>
          <w:rFonts w:cstheme="minorHAnsi"/>
        </w:rPr>
        <w:t>• Civil society representatives</w:t>
      </w:r>
    </w:p>
    <w:p w14:paraId="50A2BA46" w14:textId="77777777" w:rsidR="004069D0" w:rsidRPr="00F6597C" w:rsidRDefault="004069D0" w:rsidP="004069D0">
      <w:pPr>
        <w:spacing w:after="0"/>
        <w:rPr>
          <w:rFonts w:cstheme="minorHAnsi"/>
        </w:rPr>
      </w:pPr>
      <w:r w:rsidRPr="00F6597C">
        <w:rPr>
          <w:rFonts w:cstheme="minorHAnsi"/>
        </w:rPr>
        <w:t>• Donors and development partners</w:t>
      </w:r>
    </w:p>
    <w:p w14:paraId="0DD0FB2E" w14:textId="77777777" w:rsidR="004069D0" w:rsidRPr="00F6597C" w:rsidRDefault="004069D0" w:rsidP="004069D0">
      <w:pPr>
        <w:spacing w:after="0"/>
        <w:rPr>
          <w:rFonts w:cstheme="minorHAnsi"/>
        </w:rPr>
      </w:pPr>
      <w:r w:rsidRPr="00F6597C">
        <w:rPr>
          <w:rFonts w:cstheme="minorHAnsi"/>
        </w:rPr>
        <w:t>• UN Country Team and GTG</w:t>
      </w:r>
    </w:p>
    <w:p w14:paraId="2540CED5" w14:textId="77777777" w:rsidR="004069D0" w:rsidRPr="00F6597C" w:rsidRDefault="004069D0" w:rsidP="004069D0">
      <w:pPr>
        <w:rPr>
          <w:rFonts w:cstheme="minorHAnsi"/>
        </w:rPr>
      </w:pPr>
    </w:p>
    <w:p w14:paraId="424B80EB" w14:textId="77777777" w:rsidR="004069D0" w:rsidRPr="00F6597C" w:rsidRDefault="004069D0" w:rsidP="004069D0">
      <w:pPr>
        <w:rPr>
          <w:rFonts w:cstheme="minorHAnsi"/>
        </w:rPr>
      </w:pPr>
      <w:r w:rsidRPr="00F6597C">
        <w:rPr>
          <w:rFonts w:cstheme="minorHAnsi"/>
        </w:rPr>
        <w:t>Primary intended uses of this evaluation are:</w:t>
      </w:r>
    </w:p>
    <w:p w14:paraId="659D9268" w14:textId="77777777" w:rsidR="004069D0" w:rsidRPr="00F6597C" w:rsidRDefault="004069D0" w:rsidP="004069D0">
      <w:pPr>
        <w:spacing w:after="0"/>
        <w:rPr>
          <w:rFonts w:cstheme="minorHAnsi"/>
        </w:rPr>
      </w:pPr>
      <w:r w:rsidRPr="00F6597C">
        <w:rPr>
          <w:rFonts w:cstheme="minorHAnsi"/>
        </w:rPr>
        <w:t>a. Learning and improved decision-making to support the development of the next Moldova CO’s Strategic Note 2023-2027;</w:t>
      </w:r>
    </w:p>
    <w:p w14:paraId="69069438" w14:textId="77777777" w:rsidR="004069D0" w:rsidRPr="00F6597C" w:rsidRDefault="004069D0" w:rsidP="004069D0">
      <w:pPr>
        <w:spacing w:after="0"/>
        <w:rPr>
          <w:rFonts w:cstheme="minorHAnsi"/>
        </w:rPr>
      </w:pPr>
      <w:r w:rsidRPr="00F6597C">
        <w:rPr>
          <w:rFonts w:cstheme="minorHAnsi"/>
        </w:rPr>
        <w:t>b. Accountability for the development effectiveness of the CO Strategic Note 2018-2022 in terms of UN Women’s contribution to gender equality and women’s empowerment;</w:t>
      </w:r>
    </w:p>
    <w:p w14:paraId="3C710C86" w14:textId="77777777" w:rsidR="004069D0" w:rsidRPr="00F6597C" w:rsidRDefault="004069D0" w:rsidP="004069D0">
      <w:pPr>
        <w:spacing w:after="0"/>
        <w:rPr>
          <w:rFonts w:cstheme="minorHAnsi"/>
        </w:rPr>
      </w:pPr>
      <w:r w:rsidRPr="00F6597C">
        <w:rPr>
          <w:rFonts w:cstheme="minorHAnsi"/>
        </w:rPr>
        <w:t>c. Capacity development and mobilization of national stakeholders to advance gender equality and the empowerment of women.</w:t>
      </w:r>
    </w:p>
    <w:p w14:paraId="57FA44E6" w14:textId="77777777" w:rsidR="004069D0" w:rsidRPr="00F6597C" w:rsidRDefault="004069D0" w:rsidP="004069D0">
      <w:pPr>
        <w:spacing w:after="0"/>
        <w:rPr>
          <w:rFonts w:cstheme="minorHAnsi"/>
        </w:rPr>
      </w:pPr>
      <w:r w:rsidRPr="00F6597C">
        <w:rPr>
          <w:rFonts w:cstheme="minorHAnsi"/>
        </w:rPr>
        <w:t>The evaluation has the following specific objectives:</w:t>
      </w:r>
    </w:p>
    <w:p w14:paraId="37320BB0" w14:textId="77777777" w:rsidR="004069D0" w:rsidRPr="00F6597C" w:rsidRDefault="004069D0" w:rsidP="004069D0">
      <w:pPr>
        <w:spacing w:after="0"/>
        <w:rPr>
          <w:rFonts w:cstheme="minorHAnsi"/>
        </w:rPr>
      </w:pPr>
      <w:r w:rsidRPr="00F6597C">
        <w:rPr>
          <w:rFonts w:cstheme="minorHAnsi"/>
        </w:rPr>
        <w:lastRenderedPageBreak/>
        <w:t>1. Assess the relevance of UN Women contribution to the intervention at national levels and alignment with international agreements and conventions on gender equality and women’s empowerment.</w:t>
      </w:r>
    </w:p>
    <w:p w14:paraId="15F73A81" w14:textId="77777777" w:rsidR="004069D0" w:rsidRPr="00F6597C" w:rsidRDefault="004069D0" w:rsidP="004069D0">
      <w:pPr>
        <w:spacing w:after="0"/>
        <w:rPr>
          <w:rFonts w:cstheme="minorHAnsi"/>
        </w:rPr>
      </w:pPr>
      <w:r w:rsidRPr="00F6597C">
        <w:rPr>
          <w:rFonts w:cstheme="minorHAnsi"/>
        </w:rPr>
        <w:t>2. Assess effectiveness and organizational efficiency in progressing towards the achievement of gender equality and women’s empowerment results as defined in the Strategic Note.</w:t>
      </w:r>
    </w:p>
    <w:p w14:paraId="488C18FD" w14:textId="77777777" w:rsidR="004069D0" w:rsidRPr="00F6597C" w:rsidRDefault="004069D0" w:rsidP="004069D0">
      <w:pPr>
        <w:spacing w:after="0"/>
        <w:rPr>
          <w:rFonts w:cstheme="minorHAnsi"/>
        </w:rPr>
      </w:pPr>
      <w:r w:rsidRPr="00F6597C">
        <w:rPr>
          <w:rFonts w:cstheme="minorHAnsi"/>
        </w:rPr>
        <w:t>3. Support the UN Women CO to improve its strategic positioning to better support the achievement of sustained gender equality and women’s empowerment.</w:t>
      </w:r>
    </w:p>
    <w:p w14:paraId="41A78F9B" w14:textId="77777777" w:rsidR="004069D0" w:rsidRPr="00F6597C" w:rsidRDefault="004069D0" w:rsidP="004069D0">
      <w:pPr>
        <w:spacing w:after="0"/>
        <w:rPr>
          <w:rFonts w:cstheme="minorHAnsi"/>
        </w:rPr>
      </w:pPr>
      <w:r w:rsidRPr="00F6597C">
        <w:rPr>
          <w:rFonts w:cstheme="minorHAnsi"/>
        </w:rPr>
        <w:t>4. Analyze how human rights approach and gender equality principles are integrated in the design and implementation of the Strategic Note.</w:t>
      </w:r>
    </w:p>
    <w:p w14:paraId="543D0426" w14:textId="77777777" w:rsidR="004069D0" w:rsidRPr="00F6597C" w:rsidRDefault="004069D0" w:rsidP="004069D0">
      <w:pPr>
        <w:spacing w:after="0"/>
        <w:rPr>
          <w:rFonts w:cstheme="minorHAnsi"/>
        </w:rPr>
      </w:pPr>
      <w:r w:rsidRPr="00F6597C">
        <w:rPr>
          <w:rFonts w:cstheme="minorHAnsi"/>
        </w:rPr>
        <w:t>5. Identify and validate lessons learned, good practices and examples of innovation that supports gender equality and human rights.</w:t>
      </w:r>
    </w:p>
    <w:p w14:paraId="43D513A6" w14:textId="77777777" w:rsidR="004069D0" w:rsidRPr="00F6597C" w:rsidRDefault="004069D0" w:rsidP="004069D0">
      <w:pPr>
        <w:spacing w:after="0"/>
        <w:rPr>
          <w:rFonts w:cstheme="minorHAnsi"/>
        </w:rPr>
      </w:pPr>
      <w:r w:rsidRPr="00F6597C">
        <w:rPr>
          <w:rFonts w:cstheme="minorHAnsi"/>
        </w:rPr>
        <w:t>6. Provide insights into the extent to which the UN Women CO has realized synergies between its three mandates (normative, coordination and operations).</w:t>
      </w:r>
    </w:p>
    <w:p w14:paraId="605FAC15" w14:textId="33B93DDB" w:rsidR="004069D0" w:rsidRDefault="004069D0" w:rsidP="004069D0">
      <w:pPr>
        <w:spacing w:after="0"/>
        <w:rPr>
          <w:rFonts w:cstheme="minorHAnsi"/>
        </w:rPr>
      </w:pPr>
      <w:r w:rsidRPr="00F6597C">
        <w:rPr>
          <w:rFonts w:cstheme="minorHAnsi"/>
        </w:rPr>
        <w:t>7. Provide actionable recommendations with respect to the development of the next UN Women CO Strategic Note.</w:t>
      </w:r>
    </w:p>
    <w:p w14:paraId="6486D811" w14:textId="77777777" w:rsidR="00717603" w:rsidRDefault="00717603" w:rsidP="004069D0">
      <w:pPr>
        <w:spacing w:after="0"/>
        <w:rPr>
          <w:rFonts w:cstheme="minorHAnsi"/>
        </w:rPr>
      </w:pPr>
    </w:p>
    <w:p w14:paraId="71286ADE" w14:textId="55BD0582" w:rsidR="0071162C" w:rsidRDefault="00717603" w:rsidP="005D20D8">
      <w:pPr>
        <w:spacing w:after="0"/>
        <w:rPr>
          <w:rFonts w:cstheme="minorHAnsi"/>
          <w:b/>
          <w:bCs/>
        </w:rPr>
      </w:pPr>
      <w:r w:rsidRPr="005D20D8">
        <w:rPr>
          <w:rFonts w:cstheme="minorHAnsi"/>
          <w:b/>
          <w:bCs/>
        </w:rPr>
        <w:t xml:space="preserve">More information </w:t>
      </w:r>
      <w:r w:rsidR="005D20D8">
        <w:rPr>
          <w:rFonts w:cstheme="minorHAnsi"/>
          <w:b/>
          <w:bCs/>
        </w:rPr>
        <w:t xml:space="preserve">regarding the assignment </w:t>
      </w:r>
      <w:r w:rsidR="002C6D64">
        <w:rPr>
          <w:rFonts w:cstheme="minorHAnsi"/>
          <w:b/>
          <w:bCs/>
        </w:rPr>
        <w:t xml:space="preserve">and specifications </w:t>
      </w:r>
      <w:r w:rsidRPr="005D20D8">
        <w:rPr>
          <w:rFonts w:cstheme="minorHAnsi"/>
          <w:b/>
          <w:bCs/>
        </w:rPr>
        <w:t xml:space="preserve">can be found </w:t>
      </w:r>
      <w:r w:rsidR="005D20D8" w:rsidRPr="005D20D8">
        <w:rPr>
          <w:rFonts w:cstheme="minorHAnsi"/>
          <w:b/>
          <w:bCs/>
        </w:rPr>
        <w:t xml:space="preserve">in the Annex </w:t>
      </w:r>
      <w:r w:rsidR="005D20D8">
        <w:rPr>
          <w:rFonts w:cstheme="minorHAnsi"/>
          <w:b/>
          <w:bCs/>
        </w:rPr>
        <w:t>uploaded</w:t>
      </w:r>
      <w:r w:rsidR="005D20D8" w:rsidRPr="005D20D8">
        <w:rPr>
          <w:rFonts w:cstheme="minorHAnsi"/>
          <w:b/>
          <w:bCs/>
        </w:rPr>
        <w:t>.</w:t>
      </w:r>
    </w:p>
    <w:p w14:paraId="316401E9" w14:textId="77777777" w:rsidR="005D20D8" w:rsidRPr="00F6597C" w:rsidRDefault="005D20D8" w:rsidP="005D20D8">
      <w:pPr>
        <w:spacing w:after="0"/>
        <w:rPr>
          <w:rFonts w:cstheme="minorHAnsi"/>
          <w:b/>
          <w:bCs/>
        </w:rPr>
      </w:pPr>
    </w:p>
    <w:p w14:paraId="2F2A2FB1" w14:textId="589DDAF2" w:rsidR="00C27A9B" w:rsidRPr="00F6597C" w:rsidRDefault="00C27A9B" w:rsidP="3D659EE9">
      <w:pPr>
        <w:rPr>
          <w:rFonts w:ascii="Calibri" w:eastAsia="Calibri" w:hAnsi="Calibri" w:cs="Calibri"/>
          <w:color w:val="000000" w:themeColor="text1"/>
        </w:rPr>
      </w:pPr>
      <w:r w:rsidRPr="3D659EE9">
        <w:rPr>
          <w:b/>
          <w:bCs/>
        </w:rPr>
        <w:t>I</w:t>
      </w:r>
      <w:r w:rsidR="0071162C" w:rsidRPr="3D659EE9">
        <w:rPr>
          <w:b/>
          <w:bCs/>
        </w:rPr>
        <w:t>I</w:t>
      </w:r>
      <w:r w:rsidR="00A66D7B" w:rsidRPr="3D659EE9">
        <w:rPr>
          <w:b/>
          <w:bCs/>
        </w:rPr>
        <w:t>I</w:t>
      </w:r>
      <w:r w:rsidRPr="3D659EE9">
        <w:rPr>
          <w:b/>
          <w:bCs/>
        </w:rPr>
        <w:t xml:space="preserve">. </w:t>
      </w:r>
      <w:r w:rsidR="579CE608" w:rsidRPr="3D659EE9">
        <w:rPr>
          <w:rFonts w:ascii="Calibri" w:eastAsia="Calibri" w:hAnsi="Calibri" w:cs="Calibri"/>
          <w:b/>
          <w:bCs/>
          <w:color w:val="000000" w:themeColor="text1"/>
        </w:rPr>
        <w:t xml:space="preserve">Evaluation scope and approach </w:t>
      </w:r>
    </w:p>
    <w:p w14:paraId="55BB4715" w14:textId="7BA110FA" w:rsidR="00C27A9B" w:rsidRPr="001D1D35" w:rsidRDefault="579CE608" w:rsidP="3D659EE9">
      <w:pPr>
        <w:spacing w:line="257" w:lineRule="auto"/>
        <w:jc w:val="both"/>
        <w:rPr>
          <w:rFonts w:ascii="Calibri" w:eastAsia="Calibri" w:hAnsi="Calibri" w:cs="Calibri"/>
          <w:color w:val="000000" w:themeColor="text1"/>
          <w:u w:val="single"/>
        </w:rPr>
      </w:pPr>
      <w:r w:rsidRPr="001D1D35">
        <w:rPr>
          <w:rFonts w:ascii="Calibri" w:eastAsia="Calibri" w:hAnsi="Calibri" w:cs="Calibri"/>
          <w:color w:val="000000" w:themeColor="text1"/>
          <w:u w:val="single"/>
        </w:rPr>
        <w:t xml:space="preserve">The evaluation will apply four OECD/DAC evaluation criteria (relevance, coherence, effectiveness -including normative, and coordination mandates of UN Women-, efficiency, and sustainability) and Human Rights and Gender Equality as an additional criterion. Please check in the full </w:t>
      </w:r>
      <w:proofErr w:type="spellStart"/>
      <w:r w:rsidRPr="001D1D35">
        <w:rPr>
          <w:rFonts w:ascii="Calibri" w:eastAsia="Calibri" w:hAnsi="Calibri" w:cs="Calibri"/>
          <w:color w:val="000000" w:themeColor="text1"/>
          <w:u w:val="single"/>
        </w:rPr>
        <w:t>ToR</w:t>
      </w:r>
      <w:proofErr w:type="spellEnd"/>
      <w:r w:rsidRPr="001D1D35">
        <w:rPr>
          <w:rFonts w:ascii="Calibri" w:eastAsia="Calibri" w:hAnsi="Calibri" w:cs="Calibri"/>
          <w:color w:val="000000" w:themeColor="text1"/>
          <w:u w:val="single"/>
        </w:rPr>
        <w:t xml:space="preserve"> the key evaluation questions and sub-questions, at the link provided in the Annex. </w:t>
      </w:r>
    </w:p>
    <w:p w14:paraId="0ECC293F" w14:textId="79E05A50" w:rsidR="00C27A9B" w:rsidRPr="00F6597C" w:rsidRDefault="579CE608" w:rsidP="3D659EE9">
      <w:pPr>
        <w:jc w:val="both"/>
        <w:rPr>
          <w:rFonts w:ascii="Calibri" w:eastAsia="Calibri" w:hAnsi="Calibri" w:cs="Calibri"/>
          <w:color w:val="000000" w:themeColor="text1"/>
        </w:rPr>
      </w:pPr>
      <w:r w:rsidRPr="3D659EE9">
        <w:rPr>
          <w:rFonts w:ascii="Calibri" w:eastAsia="Calibri" w:hAnsi="Calibri" w:cs="Calibri"/>
          <w:color w:val="000000" w:themeColor="text1"/>
        </w:rPr>
        <w:t xml:space="preserve">The period covered by the evaluation will be 2018-2021 and the plans for 2022. The CPE will focus on all activities undertaken by the CO under the Strategic Note, including general support to normative policy and UN coordination. Programmatic work will be considered in relation to the thematic areas established by the UN Women Strategic Plan 2018-2021. </w:t>
      </w:r>
    </w:p>
    <w:p w14:paraId="57E0CFBD" w14:textId="49184F5F" w:rsidR="00C27A9B" w:rsidRPr="00F6597C" w:rsidRDefault="579CE608" w:rsidP="3D659EE9">
      <w:pPr>
        <w:jc w:val="both"/>
        <w:rPr>
          <w:rFonts w:ascii="Calibri" w:eastAsia="Calibri" w:hAnsi="Calibri" w:cs="Calibri"/>
          <w:color w:val="000000" w:themeColor="text1"/>
        </w:rPr>
      </w:pPr>
      <w:r w:rsidRPr="3D659EE9">
        <w:rPr>
          <w:rFonts w:ascii="Calibri" w:eastAsia="Calibri" w:hAnsi="Calibri" w:cs="Calibri"/>
          <w:color w:val="000000" w:themeColor="text1"/>
        </w:rPr>
        <w:t xml:space="preserve">As big share of activities takes place around the country at districts level, the evaluators might be expected to visit several sites during the field mission in Moldova, in case epidemiological situation will allow internal movements and onsite data collection. </w:t>
      </w:r>
    </w:p>
    <w:p w14:paraId="54E8D59F" w14:textId="227008E9" w:rsidR="00C27A9B" w:rsidRPr="00F6597C" w:rsidRDefault="579CE608" w:rsidP="3D659EE9">
      <w:pPr>
        <w:jc w:val="both"/>
        <w:rPr>
          <w:rFonts w:ascii="Calibri" w:eastAsia="Calibri" w:hAnsi="Calibri" w:cs="Calibri"/>
          <w:color w:val="000000" w:themeColor="text1"/>
        </w:rPr>
      </w:pPr>
      <w:r w:rsidRPr="3D659EE9">
        <w:rPr>
          <w:rFonts w:ascii="Calibri" w:eastAsia="Calibri" w:hAnsi="Calibri" w:cs="Calibri"/>
          <w:color w:val="000000" w:themeColor="text1"/>
        </w:rPr>
        <w:t>Joint programs and initiatives are within the scope of this evaluation. Where joint programmes are included in the analysis, the evaluation will consider both the specific contribution of UN Women, and the additional benefits and costs from working through a joint modality.</w:t>
      </w:r>
    </w:p>
    <w:p w14:paraId="0461B247" w14:textId="4B15F39F" w:rsidR="00C27A9B" w:rsidRPr="00F6597C" w:rsidRDefault="579CE608" w:rsidP="3D659EE9">
      <w:pPr>
        <w:rPr>
          <w:rFonts w:ascii="Calibri" w:eastAsia="Calibri" w:hAnsi="Calibri" w:cs="Calibri"/>
          <w:color w:val="000000" w:themeColor="text1"/>
        </w:rPr>
      </w:pPr>
      <w:r w:rsidRPr="3D659EE9">
        <w:rPr>
          <w:rFonts w:ascii="Calibri" w:eastAsia="Calibri" w:hAnsi="Calibri" w:cs="Calibri"/>
          <w:color w:val="000000" w:themeColor="text1"/>
        </w:rPr>
        <w:t>The evaluation team is expected to undertake a rapid evaluability assessment in the inception phase of the evaluation. This should include the following:</w:t>
      </w:r>
    </w:p>
    <w:p w14:paraId="57561923" w14:textId="73728E44" w:rsidR="00C27A9B" w:rsidRPr="00F6597C" w:rsidRDefault="579CE608" w:rsidP="3D659EE9">
      <w:pPr>
        <w:jc w:val="both"/>
        <w:rPr>
          <w:rFonts w:ascii="Calibri" w:eastAsia="Calibri" w:hAnsi="Calibri" w:cs="Calibri"/>
          <w:color w:val="000000" w:themeColor="text1"/>
        </w:rPr>
      </w:pPr>
      <w:r w:rsidRPr="3D659EE9">
        <w:rPr>
          <w:rFonts w:ascii="Calibri" w:eastAsia="Calibri" w:hAnsi="Calibri" w:cs="Calibri"/>
          <w:color w:val="000000" w:themeColor="text1"/>
        </w:rPr>
        <w:t>1. An assessment of the relevance, appropriateness and coherence of the implicit or explicit theory of change, strengthening or reconstructing it where necessary through a stakeholder workshop;</w:t>
      </w:r>
    </w:p>
    <w:p w14:paraId="538D656B" w14:textId="2D30A643" w:rsidR="00C27A9B" w:rsidRPr="00F6597C" w:rsidRDefault="579CE608" w:rsidP="3D659EE9">
      <w:pPr>
        <w:jc w:val="both"/>
        <w:rPr>
          <w:rFonts w:ascii="Calibri" w:eastAsia="Calibri" w:hAnsi="Calibri" w:cs="Calibri"/>
          <w:color w:val="000000" w:themeColor="text1"/>
        </w:rPr>
      </w:pPr>
      <w:r w:rsidRPr="3D659EE9">
        <w:rPr>
          <w:rFonts w:ascii="Calibri" w:eastAsia="Calibri" w:hAnsi="Calibri" w:cs="Calibri"/>
          <w:color w:val="000000" w:themeColor="text1"/>
        </w:rPr>
        <w:t>2. An assessment of the quality of performance indicators in the DRF and OEEF, and the accessibility and adequacy of relevant documents and secondary data;</w:t>
      </w:r>
    </w:p>
    <w:p w14:paraId="36B4855A" w14:textId="2DE14308" w:rsidR="00C27A9B" w:rsidRPr="00F6597C" w:rsidRDefault="579CE608" w:rsidP="3D659EE9">
      <w:pPr>
        <w:jc w:val="both"/>
        <w:rPr>
          <w:rFonts w:ascii="Calibri" w:eastAsia="Calibri" w:hAnsi="Calibri" w:cs="Calibri"/>
          <w:color w:val="000000" w:themeColor="text1"/>
        </w:rPr>
      </w:pPr>
      <w:r w:rsidRPr="3D659EE9">
        <w:rPr>
          <w:rFonts w:ascii="Calibri" w:eastAsia="Calibri" w:hAnsi="Calibri" w:cs="Calibri"/>
          <w:color w:val="000000" w:themeColor="text1"/>
        </w:rPr>
        <w:t>3. A review of the conduciveness of the context for the evaluation;</w:t>
      </w:r>
    </w:p>
    <w:p w14:paraId="7F3A9061" w14:textId="791C7EFF" w:rsidR="00C27A9B" w:rsidRPr="00F6597C" w:rsidRDefault="579CE608" w:rsidP="3D659EE9">
      <w:pPr>
        <w:jc w:val="both"/>
      </w:pPr>
      <w:r w:rsidRPr="3D659EE9">
        <w:rPr>
          <w:rFonts w:ascii="Calibri" w:eastAsia="Calibri" w:hAnsi="Calibri" w:cs="Calibri"/>
          <w:color w:val="000000" w:themeColor="text1"/>
        </w:rPr>
        <w:lastRenderedPageBreak/>
        <w:t>4. Ensuring familiarity with accountability and management structures for the evaluation.</w:t>
      </w:r>
      <w:r w:rsidRPr="3D659EE9">
        <w:rPr>
          <w:b/>
          <w:bCs/>
        </w:rPr>
        <w:t xml:space="preserve"> </w:t>
      </w:r>
    </w:p>
    <w:p w14:paraId="17B6B4D4" w14:textId="6303C529" w:rsidR="00C27A9B" w:rsidRPr="00F6597C" w:rsidRDefault="579CE608" w:rsidP="3D659EE9">
      <w:pPr>
        <w:rPr>
          <w:b/>
          <w:bCs/>
        </w:rPr>
      </w:pPr>
      <w:r w:rsidRPr="3D659EE9">
        <w:rPr>
          <w:b/>
          <w:bCs/>
        </w:rPr>
        <w:t xml:space="preserve">IV.  </w:t>
      </w:r>
      <w:r w:rsidR="00C27A9B" w:rsidRPr="3D659EE9">
        <w:rPr>
          <w:b/>
          <w:bCs/>
        </w:rPr>
        <w:t>Expected deliverables</w:t>
      </w:r>
    </w:p>
    <w:p w14:paraId="06EECCA5" w14:textId="77777777" w:rsidR="001A10A5" w:rsidRPr="00F6597C" w:rsidRDefault="00C27A9B" w:rsidP="001B3E39">
      <w:pPr>
        <w:jc w:val="both"/>
        <w:rPr>
          <w:rFonts w:cstheme="minorHAnsi"/>
        </w:rPr>
      </w:pPr>
      <w:r w:rsidRPr="00F6597C">
        <w:rPr>
          <w:rFonts w:cstheme="minorHAnsi"/>
        </w:rPr>
        <w:t xml:space="preserve">This section describes the type of products (reports, briefs or other) that are expected from the evaluation, who will use them and how they will be used. </w:t>
      </w:r>
    </w:p>
    <w:tbl>
      <w:tblPr>
        <w:tblStyle w:val="TableGrid"/>
        <w:tblW w:w="0" w:type="auto"/>
        <w:tblLook w:val="04A0" w:firstRow="1" w:lastRow="0" w:firstColumn="1" w:lastColumn="0" w:noHBand="0" w:noVBand="1"/>
      </w:tblPr>
      <w:tblGrid>
        <w:gridCol w:w="3116"/>
        <w:gridCol w:w="3117"/>
        <w:gridCol w:w="3117"/>
      </w:tblGrid>
      <w:tr w:rsidR="001A10A5" w:rsidRPr="00F6597C" w14:paraId="15A425B3" w14:textId="77777777" w:rsidTr="00950CC3">
        <w:tc>
          <w:tcPr>
            <w:tcW w:w="3116" w:type="dxa"/>
            <w:shd w:val="clear" w:color="auto" w:fill="B4C6E7" w:themeFill="accent1" w:themeFillTint="66"/>
          </w:tcPr>
          <w:p w14:paraId="701725AB" w14:textId="57C3ED5B" w:rsidR="001A10A5" w:rsidRPr="00F6597C" w:rsidRDefault="001A10A5" w:rsidP="001B3E39">
            <w:pPr>
              <w:jc w:val="both"/>
              <w:rPr>
                <w:rFonts w:cstheme="minorHAnsi"/>
              </w:rPr>
            </w:pPr>
            <w:r w:rsidRPr="00F6597C">
              <w:rPr>
                <w:rFonts w:cstheme="minorHAnsi"/>
              </w:rPr>
              <w:t>Deliverable</w:t>
            </w:r>
          </w:p>
        </w:tc>
        <w:tc>
          <w:tcPr>
            <w:tcW w:w="3117" w:type="dxa"/>
            <w:shd w:val="clear" w:color="auto" w:fill="B4C6E7" w:themeFill="accent1" w:themeFillTint="66"/>
          </w:tcPr>
          <w:p w14:paraId="430CFF91" w14:textId="4E6AA3AF" w:rsidR="001A10A5" w:rsidRPr="00F6597C" w:rsidRDefault="001A10A5" w:rsidP="001B3E39">
            <w:pPr>
              <w:jc w:val="both"/>
              <w:rPr>
                <w:rFonts w:cstheme="minorHAnsi"/>
              </w:rPr>
            </w:pPr>
            <w:r w:rsidRPr="00F6597C">
              <w:rPr>
                <w:rFonts w:cstheme="minorHAnsi"/>
              </w:rPr>
              <w:t>Time frame for submission</w:t>
            </w:r>
          </w:p>
        </w:tc>
        <w:tc>
          <w:tcPr>
            <w:tcW w:w="3117" w:type="dxa"/>
            <w:shd w:val="clear" w:color="auto" w:fill="B4C6E7" w:themeFill="accent1" w:themeFillTint="66"/>
          </w:tcPr>
          <w:p w14:paraId="0670C354" w14:textId="77777777" w:rsidR="001A10A5" w:rsidRPr="00F6597C" w:rsidRDefault="001A10A5" w:rsidP="001A10A5">
            <w:pPr>
              <w:jc w:val="both"/>
              <w:rPr>
                <w:rFonts w:cstheme="minorHAnsi"/>
              </w:rPr>
            </w:pPr>
            <w:r w:rsidRPr="00F6597C">
              <w:rPr>
                <w:rFonts w:cstheme="minorHAnsi"/>
              </w:rPr>
              <w:t>Person responsible</w:t>
            </w:r>
          </w:p>
          <w:p w14:paraId="64B52D9F" w14:textId="77777777" w:rsidR="001A10A5" w:rsidRPr="00F6597C" w:rsidRDefault="001A10A5" w:rsidP="001B3E39">
            <w:pPr>
              <w:jc w:val="both"/>
              <w:rPr>
                <w:rFonts w:cstheme="minorHAnsi"/>
              </w:rPr>
            </w:pPr>
          </w:p>
        </w:tc>
      </w:tr>
      <w:tr w:rsidR="001A10A5" w:rsidRPr="00F6597C" w14:paraId="6E9DCE09" w14:textId="77777777" w:rsidTr="001A10A5">
        <w:tc>
          <w:tcPr>
            <w:tcW w:w="3116" w:type="dxa"/>
          </w:tcPr>
          <w:p w14:paraId="6E3D928D" w14:textId="77777777" w:rsidR="001A10A5" w:rsidRPr="00F6597C" w:rsidRDefault="001A10A5" w:rsidP="001A10A5">
            <w:pPr>
              <w:rPr>
                <w:rFonts w:cstheme="minorHAnsi"/>
              </w:rPr>
            </w:pPr>
            <w:r w:rsidRPr="00F6597C">
              <w:rPr>
                <w:rFonts w:cstheme="minorHAnsi"/>
              </w:rPr>
              <w:t>Inception report Word format (including 2 rounds of revision)</w:t>
            </w:r>
          </w:p>
          <w:p w14:paraId="1460E269" w14:textId="77777777" w:rsidR="001A10A5" w:rsidRPr="00F6597C" w:rsidRDefault="001A10A5" w:rsidP="001B3E39">
            <w:pPr>
              <w:jc w:val="both"/>
              <w:rPr>
                <w:rFonts w:cstheme="minorHAnsi"/>
              </w:rPr>
            </w:pPr>
          </w:p>
        </w:tc>
        <w:tc>
          <w:tcPr>
            <w:tcW w:w="3117" w:type="dxa"/>
          </w:tcPr>
          <w:p w14:paraId="38D39F92" w14:textId="787006AF" w:rsidR="001A10A5" w:rsidRPr="00F6597C" w:rsidRDefault="00CF623B" w:rsidP="001A10A5">
            <w:pPr>
              <w:rPr>
                <w:rFonts w:cstheme="minorHAnsi"/>
              </w:rPr>
            </w:pPr>
            <w:r w:rsidRPr="00F6597C">
              <w:rPr>
                <w:rFonts w:cstheme="minorHAnsi"/>
              </w:rPr>
              <w:t>October 2021</w:t>
            </w:r>
          </w:p>
          <w:p w14:paraId="63DA7FCE" w14:textId="77777777" w:rsidR="001A10A5" w:rsidRPr="00F6597C" w:rsidRDefault="001A10A5" w:rsidP="001B3E39">
            <w:pPr>
              <w:jc w:val="both"/>
              <w:rPr>
                <w:rFonts w:cstheme="minorHAnsi"/>
              </w:rPr>
            </w:pPr>
          </w:p>
        </w:tc>
        <w:tc>
          <w:tcPr>
            <w:tcW w:w="3117" w:type="dxa"/>
          </w:tcPr>
          <w:p w14:paraId="4E1E8CEC" w14:textId="7CBD67C6" w:rsidR="001A10A5" w:rsidRPr="00F6597C" w:rsidRDefault="001A10A5" w:rsidP="001A10A5">
            <w:pPr>
              <w:rPr>
                <w:rFonts w:cstheme="minorHAnsi"/>
              </w:rPr>
            </w:pPr>
            <w:r w:rsidRPr="00F6597C">
              <w:rPr>
                <w:rFonts w:cstheme="minorHAnsi"/>
              </w:rPr>
              <w:t xml:space="preserve">Evaluator (EMG and </w:t>
            </w:r>
            <w:r w:rsidR="00CF623B" w:rsidRPr="00F6597C">
              <w:rPr>
                <w:rFonts w:cstheme="minorHAnsi"/>
              </w:rPr>
              <w:t xml:space="preserve">IES </w:t>
            </w:r>
            <w:r w:rsidRPr="00F6597C">
              <w:rPr>
                <w:rFonts w:cstheme="minorHAnsi"/>
              </w:rPr>
              <w:t>feedback)</w:t>
            </w:r>
          </w:p>
          <w:p w14:paraId="5065DB60" w14:textId="77777777" w:rsidR="001A10A5" w:rsidRPr="00F6597C" w:rsidRDefault="001A10A5" w:rsidP="001A10A5">
            <w:pPr>
              <w:jc w:val="both"/>
              <w:rPr>
                <w:rFonts w:cstheme="minorHAnsi"/>
              </w:rPr>
            </w:pPr>
          </w:p>
        </w:tc>
      </w:tr>
      <w:tr w:rsidR="001A10A5" w:rsidRPr="00F6597C" w14:paraId="0B1DC2E0" w14:textId="77777777" w:rsidTr="001A10A5">
        <w:tc>
          <w:tcPr>
            <w:tcW w:w="3116" w:type="dxa"/>
          </w:tcPr>
          <w:p w14:paraId="76B3A226" w14:textId="77777777" w:rsidR="001A10A5" w:rsidRPr="00F6597C" w:rsidRDefault="001A10A5" w:rsidP="001A10A5">
            <w:pPr>
              <w:rPr>
                <w:rFonts w:cstheme="minorHAnsi"/>
              </w:rPr>
            </w:pPr>
            <w:r w:rsidRPr="00F6597C">
              <w:rPr>
                <w:rFonts w:cstheme="minorHAnsi"/>
              </w:rPr>
              <w:t>Presentation of Preliminary Findings</w:t>
            </w:r>
          </w:p>
          <w:p w14:paraId="4FBE38FD" w14:textId="77777777" w:rsidR="001A10A5" w:rsidRPr="00F6597C" w:rsidRDefault="001A10A5" w:rsidP="001A10A5">
            <w:pPr>
              <w:rPr>
                <w:rFonts w:cstheme="minorHAnsi"/>
              </w:rPr>
            </w:pPr>
          </w:p>
        </w:tc>
        <w:tc>
          <w:tcPr>
            <w:tcW w:w="3117" w:type="dxa"/>
          </w:tcPr>
          <w:p w14:paraId="5D8C0B3A" w14:textId="21A9D368" w:rsidR="001A10A5" w:rsidRPr="00F6597C" w:rsidRDefault="00CF623B" w:rsidP="001A10A5">
            <w:pPr>
              <w:rPr>
                <w:rFonts w:cstheme="minorHAnsi"/>
              </w:rPr>
            </w:pPr>
            <w:r w:rsidRPr="00F6597C">
              <w:rPr>
                <w:rFonts w:cstheme="minorHAnsi"/>
              </w:rPr>
              <w:t>January 2022</w:t>
            </w:r>
          </w:p>
          <w:p w14:paraId="4F9D135B" w14:textId="77777777" w:rsidR="001A10A5" w:rsidRPr="00F6597C" w:rsidRDefault="001A10A5" w:rsidP="001A10A5">
            <w:pPr>
              <w:rPr>
                <w:rFonts w:cstheme="minorHAnsi"/>
              </w:rPr>
            </w:pPr>
          </w:p>
        </w:tc>
        <w:tc>
          <w:tcPr>
            <w:tcW w:w="3117" w:type="dxa"/>
          </w:tcPr>
          <w:p w14:paraId="06A53FB4" w14:textId="21F6CBCA" w:rsidR="001A10A5" w:rsidRPr="00F6597C" w:rsidRDefault="001A10A5" w:rsidP="001A10A5">
            <w:pPr>
              <w:rPr>
                <w:rFonts w:cstheme="minorHAnsi"/>
              </w:rPr>
            </w:pPr>
            <w:r w:rsidRPr="00F6597C">
              <w:rPr>
                <w:rFonts w:cstheme="minorHAnsi"/>
              </w:rPr>
              <w:t>Evaluator ( ERG</w:t>
            </w:r>
            <w:r w:rsidR="00CD21AC">
              <w:rPr>
                <w:rFonts w:cstheme="minorHAnsi"/>
              </w:rPr>
              <w:t>s</w:t>
            </w:r>
            <w:r w:rsidRPr="00F6597C">
              <w:rPr>
                <w:rFonts w:cstheme="minorHAnsi"/>
              </w:rPr>
              <w:t xml:space="preserve"> feedback)</w:t>
            </w:r>
          </w:p>
          <w:p w14:paraId="57FC74E8" w14:textId="77777777" w:rsidR="001A10A5" w:rsidRPr="00F6597C" w:rsidRDefault="001A10A5" w:rsidP="001A10A5">
            <w:pPr>
              <w:rPr>
                <w:rFonts w:cstheme="minorHAnsi"/>
              </w:rPr>
            </w:pPr>
          </w:p>
        </w:tc>
      </w:tr>
      <w:tr w:rsidR="00B75591" w:rsidRPr="00F6597C" w14:paraId="30040446" w14:textId="77777777" w:rsidTr="001A10A5">
        <w:tc>
          <w:tcPr>
            <w:tcW w:w="3116" w:type="dxa"/>
          </w:tcPr>
          <w:p w14:paraId="6917867B" w14:textId="77777777" w:rsidR="001D1891" w:rsidRPr="00F6597C" w:rsidRDefault="001D1891" w:rsidP="001D1891">
            <w:pPr>
              <w:rPr>
                <w:rFonts w:cstheme="minorHAnsi"/>
              </w:rPr>
            </w:pPr>
            <w:r w:rsidRPr="00F6597C">
              <w:rPr>
                <w:rFonts w:cstheme="minorHAnsi"/>
              </w:rPr>
              <w:t>Draft report Word format (including 2 rounds of revision)</w:t>
            </w:r>
          </w:p>
          <w:p w14:paraId="5D53AD1B" w14:textId="77777777" w:rsidR="00B75591" w:rsidRPr="00F6597C" w:rsidRDefault="00B75591" w:rsidP="001A10A5">
            <w:pPr>
              <w:rPr>
                <w:rFonts w:cstheme="minorHAnsi"/>
              </w:rPr>
            </w:pPr>
          </w:p>
        </w:tc>
        <w:tc>
          <w:tcPr>
            <w:tcW w:w="3117" w:type="dxa"/>
          </w:tcPr>
          <w:p w14:paraId="77E0D42D" w14:textId="0B20138D" w:rsidR="001D1891" w:rsidRPr="00F6597C" w:rsidRDefault="00CF623B" w:rsidP="001D1891">
            <w:pPr>
              <w:rPr>
                <w:rFonts w:cstheme="minorHAnsi"/>
              </w:rPr>
            </w:pPr>
            <w:r w:rsidRPr="00F6597C">
              <w:rPr>
                <w:rFonts w:cstheme="minorHAnsi"/>
              </w:rPr>
              <w:t>February</w:t>
            </w:r>
            <w:r w:rsidR="00C15BA9" w:rsidRPr="00F6597C">
              <w:rPr>
                <w:rFonts w:cstheme="minorHAnsi"/>
              </w:rPr>
              <w:t xml:space="preserve"> 202</w:t>
            </w:r>
            <w:r w:rsidR="00E01B3A" w:rsidRPr="00F6597C">
              <w:rPr>
                <w:rFonts w:cstheme="minorHAnsi"/>
              </w:rPr>
              <w:t>2</w:t>
            </w:r>
          </w:p>
          <w:p w14:paraId="6E24C790" w14:textId="77777777" w:rsidR="00B75591" w:rsidRPr="00F6597C" w:rsidRDefault="00B75591" w:rsidP="001A10A5">
            <w:pPr>
              <w:rPr>
                <w:rFonts w:cstheme="minorHAnsi"/>
              </w:rPr>
            </w:pPr>
          </w:p>
        </w:tc>
        <w:tc>
          <w:tcPr>
            <w:tcW w:w="3117" w:type="dxa"/>
          </w:tcPr>
          <w:p w14:paraId="232186F9" w14:textId="47B3EA0C" w:rsidR="001D1891" w:rsidRPr="00F6597C" w:rsidRDefault="001D1891" w:rsidP="001D1891">
            <w:pPr>
              <w:rPr>
                <w:rFonts w:cstheme="minorHAnsi"/>
              </w:rPr>
            </w:pPr>
            <w:r w:rsidRPr="00F6597C">
              <w:rPr>
                <w:rFonts w:cstheme="minorHAnsi"/>
              </w:rPr>
              <w:t>Evaluator (</w:t>
            </w:r>
            <w:r w:rsidR="00203BE7">
              <w:rPr>
                <w:rFonts w:cstheme="minorHAnsi"/>
              </w:rPr>
              <w:t xml:space="preserve">IES, </w:t>
            </w:r>
            <w:r w:rsidRPr="00F6597C">
              <w:rPr>
                <w:rFonts w:cstheme="minorHAnsi"/>
              </w:rPr>
              <w:t>ERG</w:t>
            </w:r>
            <w:r w:rsidR="00203BE7">
              <w:rPr>
                <w:rFonts w:cstheme="minorHAnsi"/>
              </w:rPr>
              <w:t>s</w:t>
            </w:r>
            <w:r w:rsidRPr="00F6597C">
              <w:rPr>
                <w:rFonts w:cstheme="minorHAnsi"/>
              </w:rPr>
              <w:t xml:space="preserve"> feedback)</w:t>
            </w:r>
          </w:p>
          <w:p w14:paraId="1408C897" w14:textId="77777777" w:rsidR="00B75591" w:rsidRPr="00F6597C" w:rsidRDefault="00B75591" w:rsidP="001A10A5">
            <w:pPr>
              <w:rPr>
                <w:rFonts w:cstheme="minorHAnsi"/>
              </w:rPr>
            </w:pPr>
          </w:p>
        </w:tc>
      </w:tr>
      <w:tr w:rsidR="001D1891" w:rsidRPr="00F6597C" w14:paraId="4B6C75DF" w14:textId="77777777" w:rsidTr="00950CC3">
        <w:trPr>
          <w:trHeight w:val="300"/>
        </w:trPr>
        <w:tc>
          <w:tcPr>
            <w:tcW w:w="3116" w:type="dxa"/>
          </w:tcPr>
          <w:p w14:paraId="60DEE07A" w14:textId="146A59BB" w:rsidR="00950CC3" w:rsidRPr="00F6597C" w:rsidRDefault="00950CC3" w:rsidP="00950CC3">
            <w:pPr>
              <w:rPr>
                <w:rFonts w:cstheme="minorHAnsi"/>
              </w:rPr>
            </w:pPr>
            <w:r w:rsidRPr="00F6597C">
              <w:rPr>
                <w:rFonts w:cstheme="minorHAnsi"/>
              </w:rPr>
              <w:t>Final report</w:t>
            </w:r>
            <w:r w:rsidR="00B0063E" w:rsidRPr="00F6597C">
              <w:rPr>
                <w:rFonts w:cstheme="minorHAnsi"/>
              </w:rPr>
              <w:t xml:space="preserve"> and evaluation brief</w:t>
            </w:r>
          </w:p>
          <w:p w14:paraId="41FD7911" w14:textId="77777777" w:rsidR="001D1891" w:rsidRPr="00F6597C" w:rsidRDefault="001D1891" w:rsidP="001D1891">
            <w:pPr>
              <w:rPr>
                <w:rFonts w:cstheme="minorHAnsi"/>
              </w:rPr>
            </w:pPr>
          </w:p>
        </w:tc>
        <w:tc>
          <w:tcPr>
            <w:tcW w:w="3117" w:type="dxa"/>
          </w:tcPr>
          <w:p w14:paraId="0BABE478" w14:textId="689AC8BC" w:rsidR="00950CC3" w:rsidRPr="00F6597C" w:rsidRDefault="00CF623B" w:rsidP="00950CC3">
            <w:pPr>
              <w:rPr>
                <w:rFonts w:cstheme="minorHAnsi"/>
              </w:rPr>
            </w:pPr>
            <w:r w:rsidRPr="00F6597C">
              <w:rPr>
                <w:rFonts w:cstheme="minorHAnsi"/>
              </w:rPr>
              <w:t xml:space="preserve">March </w:t>
            </w:r>
            <w:r w:rsidR="00950CC3" w:rsidRPr="00F6597C">
              <w:rPr>
                <w:rFonts w:cstheme="minorHAnsi"/>
              </w:rPr>
              <w:t>202</w:t>
            </w:r>
            <w:r w:rsidR="00E01B3A" w:rsidRPr="00F6597C">
              <w:rPr>
                <w:rFonts w:cstheme="minorHAnsi"/>
              </w:rPr>
              <w:t>2</w:t>
            </w:r>
          </w:p>
          <w:p w14:paraId="341A54F2" w14:textId="77777777" w:rsidR="001D1891" w:rsidRPr="00F6597C" w:rsidRDefault="001D1891" w:rsidP="001A10A5">
            <w:pPr>
              <w:rPr>
                <w:rFonts w:cstheme="minorHAnsi"/>
              </w:rPr>
            </w:pPr>
          </w:p>
        </w:tc>
        <w:tc>
          <w:tcPr>
            <w:tcW w:w="3117" w:type="dxa"/>
          </w:tcPr>
          <w:p w14:paraId="11B1C83E" w14:textId="6E52D6CF" w:rsidR="00950CC3" w:rsidRPr="00F6597C" w:rsidRDefault="00950CC3" w:rsidP="00950CC3">
            <w:pPr>
              <w:rPr>
                <w:rFonts w:cstheme="minorHAnsi"/>
              </w:rPr>
            </w:pPr>
            <w:r w:rsidRPr="00F6597C">
              <w:rPr>
                <w:rFonts w:cstheme="minorHAnsi"/>
              </w:rPr>
              <w:t>Evaluator (ERG</w:t>
            </w:r>
            <w:r w:rsidR="005C6353">
              <w:rPr>
                <w:rFonts w:cstheme="minorHAnsi"/>
              </w:rPr>
              <w:t>s</w:t>
            </w:r>
            <w:r w:rsidRPr="00F6597C">
              <w:rPr>
                <w:rFonts w:cstheme="minorHAnsi"/>
              </w:rPr>
              <w:t xml:space="preserve"> feedback)</w:t>
            </w:r>
          </w:p>
          <w:p w14:paraId="7139A499" w14:textId="77777777" w:rsidR="001D1891" w:rsidRPr="00F6597C" w:rsidRDefault="001D1891" w:rsidP="001A10A5">
            <w:pPr>
              <w:rPr>
                <w:rFonts w:cstheme="minorHAnsi"/>
              </w:rPr>
            </w:pPr>
          </w:p>
        </w:tc>
      </w:tr>
      <w:tr w:rsidR="00950CC3" w:rsidRPr="00F6597C" w14:paraId="3549F77C" w14:textId="77777777" w:rsidTr="00950CC3">
        <w:trPr>
          <w:trHeight w:val="300"/>
        </w:trPr>
        <w:tc>
          <w:tcPr>
            <w:tcW w:w="3116" w:type="dxa"/>
          </w:tcPr>
          <w:p w14:paraId="6EA01A54" w14:textId="1D779C28" w:rsidR="00950CC3" w:rsidRPr="00F6597C" w:rsidRDefault="00CF623B" w:rsidP="00950CC3">
            <w:pPr>
              <w:rPr>
                <w:rFonts w:cstheme="minorHAnsi"/>
              </w:rPr>
            </w:pPr>
            <w:r w:rsidRPr="00F6597C">
              <w:rPr>
                <w:rFonts w:cstheme="minorHAnsi"/>
              </w:rPr>
              <w:t xml:space="preserve">Evaluation </w:t>
            </w:r>
            <w:r w:rsidR="00950CC3" w:rsidRPr="00F6597C">
              <w:rPr>
                <w:rFonts w:cstheme="minorHAnsi"/>
              </w:rPr>
              <w:t>Management Response</w:t>
            </w:r>
          </w:p>
          <w:p w14:paraId="6DF3B14D" w14:textId="77777777" w:rsidR="00950CC3" w:rsidRPr="00F6597C" w:rsidRDefault="00950CC3" w:rsidP="00950CC3">
            <w:pPr>
              <w:rPr>
                <w:rFonts w:cstheme="minorHAnsi"/>
              </w:rPr>
            </w:pPr>
          </w:p>
        </w:tc>
        <w:tc>
          <w:tcPr>
            <w:tcW w:w="3117" w:type="dxa"/>
          </w:tcPr>
          <w:p w14:paraId="447FC6EA" w14:textId="3E701F74" w:rsidR="00950CC3" w:rsidRPr="00F6597C" w:rsidRDefault="00CF623B" w:rsidP="00950CC3">
            <w:pPr>
              <w:rPr>
                <w:rFonts w:cstheme="minorHAnsi"/>
              </w:rPr>
            </w:pPr>
            <w:r w:rsidRPr="00F6597C">
              <w:rPr>
                <w:rFonts w:cstheme="minorHAnsi"/>
              </w:rPr>
              <w:t>Within six weeks up on approval of the final report</w:t>
            </w:r>
          </w:p>
          <w:p w14:paraId="38E5DA53" w14:textId="77777777" w:rsidR="00950CC3" w:rsidRPr="00F6597C" w:rsidRDefault="00950CC3" w:rsidP="00950CC3">
            <w:pPr>
              <w:rPr>
                <w:rFonts w:cstheme="minorHAnsi"/>
              </w:rPr>
            </w:pPr>
          </w:p>
        </w:tc>
        <w:tc>
          <w:tcPr>
            <w:tcW w:w="3117" w:type="dxa"/>
          </w:tcPr>
          <w:p w14:paraId="44AB3887" w14:textId="19D23B24" w:rsidR="00950CC3" w:rsidRPr="00F6597C" w:rsidRDefault="00950CC3" w:rsidP="00950CC3">
            <w:pPr>
              <w:rPr>
                <w:rFonts w:cstheme="minorHAnsi"/>
              </w:rPr>
            </w:pPr>
            <w:r w:rsidRPr="00F6597C">
              <w:rPr>
                <w:rFonts w:cstheme="minorHAnsi"/>
              </w:rPr>
              <w:t xml:space="preserve">Moldova </w:t>
            </w:r>
            <w:r w:rsidR="00FC3831" w:rsidRPr="00F6597C">
              <w:rPr>
                <w:rFonts w:cstheme="minorHAnsi"/>
              </w:rPr>
              <w:t xml:space="preserve">CO </w:t>
            </w:r>
            <w:r w:rsidRPr="00F6597C">
              <w:rPr>
                <w:rFonts w:cstheme="minorHAnsi"/>
              </w:rPr>
              <w:t xml:space="preserve">Representative </w:t>
            </w:r>
          </w:p>
          <w:p w14:paraId="64F565A9" w14:textId="77777777" w:rsidR="00950CC3" w:rsidRPr="00F6597C" w:rsidRDefault="00950CC3" w:rsidP="00950CC3">
            <w:pPr>
              <w:rPr>
                <w:rFonts w:cstheme="minorHAnsi"/>
              </w:rPr>
            </w:pPr>
          </w:p>
        </w:tc>
      </w:tr>
    </w:tbl>
    <w:p w14:paraId="288D6587" w14:textId="77777777" w:rsidR="0071162C" w:rsidRDefault="0071162C" w:rsidP="00B0063E">
      <w:pPr>
        <w:jc w:val="both"/>
        <w:rPr>
          <w:rFonts w:cstheme="minorHAnsi"/>
          <w:b/>
          <w:bCs/>
        </w:rPr>
      </w:pPr>
    </w:p>
    <w:p w14:paraId="3334788B" w14:textId="56AD5671" w:rsidR="00C27A9B" w:rsidRPr="00F6597C" w:rsidRDefault="0071162C" w:rsidP="00B0063E">
      <w:pPr>
        <w:jc w:val="both"/>
        <w:rPr>
          <w:rFonts w:cstheme="minorHAnsi"/>
          <w:b/>
          <w:bCs/>
        </w:rPr>
      </w:pPr>
      <w:r w:rsidRPr="67659DF1">
        <w:rPr>
          <w:b/>
          <w:bCs/>
        </w:rPr>
        <w:t>I</w:t>
      </w:r>
      <w:r w:rsidR="00A66D7B" w:rsidRPr="67659DF1">
        <w:rPr>
          <w:b/>
          <w:bCs/>
        </w:rPr>
        <w:t>V</w:t>
      </w:r>
      <w:r w:rsidR="00C27A9B" w:rsidRPr="67659DF1">
        <w:rPr>
          <w:b/>
          <w:bCs/>
        </w:rPr>
        <w:t>. Evaluation team composition, skills and experiences</w:t>
      </w:r>
    </w:p>
    <w:p w14:paraId="56EFAC72" w14:textId="4088790B" w:rsidR="00C27A9B" w:rsidRPr="001D1D35" w:rsidRDefault="37425540" w:rsidP="000C1421">
      <w:pPr>
        <w:spacing w:line="257" w:lineRule="auto"/>
        <w:jc w:val="both"/>
        <w:rPr>
          <w:rFonts w:ascii="Calibri" w:eastAsia="Calibri" w:hAnsi="Calibri" w:cs="Calibri"/>
          <w:color w:val="000000" w:themeColor="text1"/>
        </w:rPr>
      </w:pPr>
      <w:r w:rsidRPr="001D1D35">
        <w:rPr>
          <w:rFonts w:ascii="Calibri" w:eastAsia="Calibri" w:hAnsi="Calibri" w:cs="Calibri"/>
          <w:color w:val="000000" w:themeColor="text1"/>
        </w:rPr>
        <w:t>The evaluation process will be led by UN Women Independent Evaluation Service and the management structure for this evaluation will include:</w:t>
      </w:r>
    </w:p>
    <w:p w14:paraId="64F5D929" w14:textId="21DBD34D" w:rsidR="00C27A9B" w:rsidRPr="001D1D35" w:rsidRDefault="37425540" w:rsidP="000C1421">
      <w:pPr>
        <w:spacing w:line="257" w:lineRule="auto"/>
        <w:ind w:left="142" w:hanging="142"/>
        <w:jc w:val="both"/>
        <w:rPr>
          <w:rFonts w:ascii="Calibri" w:eastAsia="Calibri" w:hAnsi="Calibri" w:cs="Calibri"/>
          <w:color w:val="000000" w:themeColor="text1"/>
        </w:rPr>
      </w:pPr>
      <w:r w:rsidRPr="001D1D35">
        <w:rPr>
          <w:rFonts w:ascii="Calibri" w:eastAsia="Calibri" w:hAnsi="Calibri" w:cs="Calibri"/>
          <w:color w:val="000000" w:themeColor="text1"/>
        </w:rPr>
        <w:t>1. ECA Regional Evaluation Specialist (RES), who is a member of the UN Women Independent Evaluation Office, will be the evaluation team lead and the task manager for this evaluation.</w:t>
      </w:r>
    </w:p>
    <w:p w14:paraId="2C6FB6C9" w14:textId="4EF720E1" w:rsidR="00C27A9B" w:rsidRPr="001D1D35" w:rsidRDefault="37425540" w:rsidP="000C1421">
      <w:pPr>
        <w:spacing w:line="257" w:lineRule="auto"/>
        <w:ind w:left="142" w:hanging="142"/>
        <w:jc w:val="both"/>
        <w:rPr>
          <w:rFonts w:ascii="Calibri" w:eastAsia="Calibri" w:hAnsi="Calibri" w:cs="Calibri"/>
          <w:color w:val="000000" w:themeColor="text1"/>
        </w:rPr>
      </w:pPr>
      <w:r w:rsidRPr="001D1D35">
        <w:rPr>
          <w:rFonts w:ascii="Calibri" w:eastAsia="Calibri" w:hAnsi="Calibri" w:cs="Calibri"/>
          <w:color w:val="000000" w:themeColor="text1"/>
        </w:rPr>
        <w:t>2. Evaluation Management Group for administrative support and accountability will include: Country Representative, M&amp;E Focal Point; ECA RES (who will lead the group);</w:t>
      </w:r>
    </w:p>
    <w:p w14:paraId="3A15400C" w14:textId="7E2649FA" w:rsidR="00C27A9B" w:rsidRPr="001D1D35" w:rsidRDefault="37425540" w:rsidP="000C1421">
      <w:pPr>
        <w:spacing w:line="257" w:lineRule="auto"/>
        <w:ind w:left="142" w:hanging="142"/>
        <w:jc w:val="both"/>
        <w:rPr>
          <w:rFonts w:ascii="Calibri" w:eastAsia="Calibri" w:hAnsi="Calibri" w:cs="Calibri"/>
          <w:color w:val="000000" w:themeColor="text1"/>
        </w:rPr>
      </w:pPr>
      <w:r w:rsidRPr="001D1D35">
        <w:rPr>
          <w:rFonts w:ascii="Calibri" w:eastAsia="Calibri" w:hAnsi="Calibri" w:cs="Calibri"/>
          <w:color w:val="000000" w:themeColor="text1"/>
        </w:rPr>
        <w:t>3. External Evaluation Reference Group to foster stakeholders’ ownership and participatory approach; CSOs, state partners; development partners (including donors); representative of the UNCT.</w:t>
      </w:r>
    </w:p>
    <w:p w14:paraId="5BD0C4C7" w14:textId="25AC250F" w:rsidR="00C27A9B" w:rsidRPr="001D1D35" w:rsidRDefault="37425540" w:rsidP="000C1421">
      <w:pPr>
        <w:jc w:val="both"/>
        <w:rPr>
          <w:color w:val="000000" w:themeColor="text1"/>
        </w:rPr>
      </w:pPr>
      <w:r w:rsidRPr="001D1D35">
        <w:rPr>
          <w:rFonts w:ascii="Calibri" w:eastAsia="Calibri" w:hAnsi="Calibri" w:cs="Calibri"/>
          <w:color w:val="000000" w:themeColor="text1"/>
        </w:rPr>
        <w:t>4. Internal Evaluation Reference Group integrated by all UN Women Moldova CO personnel and key RO staff, including Planning and Coordination Specialist, to foster ownership of the process and use of its results by the CO’s personnel.</w:t>
      </w:r>
      <w:r w:rsidRPr="001D1D35">
        <w:rPr>
          <w:color w:val="000000" w:themeColor="text1"/>
        </w:rPr>
        <w:t xml:space="preserve"> </w:t>
      </w:r>
    </w:p>
    <w:p w14:paraId="6C703FE1" w14:textId="1B4B78D8" w:rsidR="00C27A9B" w:rsidRPr="00F6597C" w:rsidRDefault="37425540" w:rsidP="67659DF1">
      <w:pPr>
        <w:jc w:val="both"/>
      </w:pPr>
      <w:r w:rsidRPr="67659DF1">
        <w:t xml:space="preserve">The </w:t>
      </w:r>
      <w:r w:rsidR="005410AE" w:rsidRPr="67659DF1">
        <w:t xml:space="preserve">UN Women ECA Regional </w:t>
      </w:r>
      <w:r w:rsidR="003A4166" w:rsidRPr="67659DF1">
        <w:t>Evaluation</w:t>
      </w:r>
      <w:r w:rsidR="005410AE" w:rsidRPr="67659DF1">
        <w:t xml:space="preserve"> Specialist </w:t>
      </w:r>
      <w:r w:rsidR="475ADBBD" w:rsidRPr="67659DF1">
        <w:t xml:space="preserve">that </w:t>
      </w:r>
      <w:r w:rsidR="005410AE" w:rsidRPr="67659DF1">
        <w:t>will act as the team lead</w:t>
      </w:r>
      <w:r w:rsidR="6DA4DAAB" w:rsidRPr="67659DF1">
        <w:t>,</w:t>
      </w:r>
      <w:r w:rsidR="005410AE" w:rsidRPr="67659DF1">
        <w:t xml:space="preserve"> will be supported by two external independent consultants</w:t>
      </w:r>
      <w:r w:rsidR="005A548C" w:rsidRPr="67659DF1">
        <w:t xml:space="preserve">, </w:t>
      </w:r>
      <w:r w:rsidR="005410AE" w:rsidRPr="67659DF1">
        <w:t>including an</w:t>
      </w:r>
      <w:r w:rsidR="00C27A9B" w:rsidRPr="67659DF1">
        <w:t xml:space="preserve"> International </w:t>
      </w:r>
      <w:r w:rsidR="00900C62" w:rsidRPr="67659DF1">
        <w:t xml:space="preserve">Evaluation </w:t>
      </w:r>
      <w:r w:rsidR="005410AE" w:rsidRPr="67659DF1">
        <w:t xml:space="preserve">Expert </w:t>
      </w:r>
      <w:r w:rsidR="00C27A9B" w:rsidRPr="67659DF1">
        <w:t>and a</w:t>
      </w:r>
      <w:r w:rsidR="005410AE" w:rsidRPr="67659DF1">
        <w:t>n additional</w:t>
      </w:r>
      <w:r w:rsidR="00C27A9B" w:rsidRPr="67659DF1">
        <w:t xml:space="preserve"> National </w:t>
      </w:r>
      <w:r w:rsidR="002242E8" w:rsidRPr="67659DF1">
        <w:t>Gender Expert</w:t>
      </w:r>
      <w:r w:rsidR="00C27A9B" w:rsidRPr="67659DF1">
        <w:t xml:space="preserve">, to be recruited by the UN Women </w:t>
      </w:r>
      <w:r w:rsidR="005410AE" w:rsidRPr="67659DF1">
        <w:t xml:space="preserve">Moldova </w:t>
      </w:r>
      <w:r w:rsidR="00490DAD" w:rsidRPr="67659DF1">
        <w:t>CO based</w:t>
      </w:r>
      <w:r w:rsidR="00C27A9B" w:rsidRPr="67659DF1">
        <w:t xml:space="preserve"> on this TOR.</w:t>
      </w:r>
      <w:r w:rsidR="002D1B53" w:rsidRPr="67659DF1">
        <w:t xml:space="preserve"> In addition, a Research Assistant will support the</w:t>
      </w:r>
      <w:r w:rsidR="005410AE" w:rsidRPr="67659DF1">
        <w:t xml:space="preserve"> inception phase of the</w:t>
      </w:r>
      <w:r w:rsidR="002D1B53" w:rsidRPr="67659DF1">
        <w:t xml:space="preserve"> evaluation process.</w:t>
      </w:r>
    </w:p>
    <w:p w14:paraId="5EAE93C9" w14:textId="5ACD4E9B" w:rsidR="000D4A21" w:rsidRPr="00F6597C" w:rsidRDefault="00C27A9B" w:rsidP="0049622E">
      <w:pPr>
        <w:jc w:val="both"/>
        <w:rPr>
          <w:rFonts w:cstheme="minorHAnsi"/>
        </w:rPr>
      </w:pPr>
      <w:r w:rsidRPr="00F6597C">
        <w:rPr>
          <w:rFonts w:cstheme="minorHAnsi"/>
        </w:rPr>
        <w:lastRenderedPageBreak/>
        <w:t xml:space="preserve">The estimated number of person-days required for the evaluation is </w:t>
      </w:r>
      <w:r w:rsidR="00B61580">
        <w:rPr>
          <w:rFonts w:cstheme="minorHAnsi"/>
        </w:rPr>
        <w:t>3</w:t>
      </w:r>
      <w:r w:rsidR="00952FF6">
        <w:rPr>
          <w:rFonts w:cstheme="minorHAnsi"/>
        </w:rPr>
        <w:t>4</w:t>
      </w:r>
      <w:r w:rsidRPr="00F6597C">
        <w:rPr>
          <w:rFonts w:cstheme="minorHAnsi"/>
        </w:rPr>
        <w:t xml:space="preserve"> days for the national </w:t>
      </w:r>
      <w:r w:rsidR="008C7275">
        <w:rPr>
          <w:rFonts w:cstheme="minorHAnsi"/>
        </w:rPr>
        <w:t xml:space="preserve">gender expert </w:t>
      </w:r>
      <w:r w:rsidR="005410AE" w:rsidRPr="00F6597C">
        <w:rPr>
          <w:rFonts w:cstheme="minorHAnsi"/>
        </w:rPr>
        <w:t xml:space="preserve"> </w:t>
      </w:r>
      <w:r w:rsidRPr="00F6597C">
        <w:rPr>
          <w:rFonts w:cstheme="minorHAnsi"/>
        </w:rPr>
        <w:t>with breakdown as follows:</w:t>
      </w:r>
    </w:p>
    <w:tbl>
      <w:tblPr>
        <w:tblStyle w:val="TableGrid"/>
        <w:tblW w:w="8797" w:type="dxa"/>
        <w:tblInd w:w="108" w:type="dxa"/>
        <w:tblLook w:val="04A0" w:firstRow="1" w:lastRow="0" w:firstColumn="1" w:lastColumn="0" w:noHBand="0" w:noVBand="1"/>
      </w:tblPr>
      <w:tblGrid>
        <w:gridCol w:w="6433"/>
        <w:gridCol w:w="2364"/>
      </w:tblGrid>
      <w:tr w:rsidR="00C51D87" w:rsidRPr="00F6597C" w14:paraId="44EB77E4" w14:textId="77777777" w:rsidTr="00177EA0">
        <w:tc>
          <w:tcPr>
            <w:tcW w:w="6433" w:type="dxa"/>
          </w:tcPr>
          <w:p w14:paraId="03D6CCA3" w14:textId="77777777" w:rsidR="00C51D87" w:rsidRPr="00F6597C" w:rsidRDefault="00C51D87" w:rsidP="00177EA0">
            <w:pPr>
              <w:jc w:val="center"/>
              <w:rPr>
                <w:rFonts w:cstheme="minorHAnsi"/>
                <w:b/>
              </w:rPr>
            </w:pPr>
            <w:r w:rsidRPr="00F6597C">
              <w:rPr>
                <w:rFonts w:cstheme="minorHAnsi"/>
                <w:b/>
              </w:rPr>
              <w:t>Tasks</w:t>
            </w:r>
          </w:p>
        </w:tc>
        <w:tc>
          <w:tcPr>
            <w:tcW w:w="2364" w:type="dxa"/>
          </w:tcPr>
          <w:p w14:paraId="62753126" w14:textId="569580F3" w:rsidR="00C51D87" w:rsidRPr="00F6597C" w:rsidRDefault="00C51D87" w:rsidP="00177EA0">
            <w:pPr>
              <w:jc w:val="center"/>
              <w:rPr>
                <w:rFonts w:cstheme="minorHAnsi"/>
                <w:b/>
              </w:rPr>
            </w:pPr>
            <w:r w:rsidRPr="00F6597C">
              <w:rPr>
                <w:rFonts w:cstheme="minorHAnsi"/>
                <w:b/>
              </w:rPr>
              <w:t xml:space="preserve">Timeframe for completion of task </w:t>
            </w:r>
          </w:p>
        </w:tc>
      </w:tr>
      <w:tr w:rsidR="00C51D87" w:rsidRPr="00F6597C" w14:paraId="4040E147" w14:textId="77777777" w:rsidTr="00177EA0">
        <w:trPr>
          <w:trHeight w:val="521"/>
        </w:trPr>
        <w:tc>
          <w:tcPr>
            <w:tcW w:w="6433" w:type="dxa"/>
          </w:tcPr>
          <w:p w14:paraId="2FDC73D5" w14:textId="04B55DEE" w:rsidR="00C51D87" w:rsidRPr="00F6597C" w:rsidRDefault="00C51D87" w:rsidP="00C51D87">
            <w:pPr>
              <w:pStyle w:val="ListParagraph"/>
              <w:numPr>
                <w:ilvl w:val="0"/>
                <w:numId w:val="23"/>
              </w:numPr>
              <w:rPr>
                <w:rFonts w:asciiTheme="minorHAnsi" w:hAnsiTheme="minorHAnsi" w:cstheme="minorHAnsi"/>
              </w:rPr>
            </w:pPr>
            <w:r w:rsidRPr="00F6597C">
              <w:rPr>
                <w:rFonts w:asciiTheme="minorHAnsi" w:hAnsiTheme="minorHAnsi" w:cstheme="minorHAnsi"/>
              </w:rPr>
              <w:t>Initial data collection and preparation of inception report</w:t>
            </w:r>
          </w:p>
        </w:tc>
        <w:tc>
          <w:tcPr>
            <w:tcW w:w="2364" w:type="dxa"/>
          </w:tcPr>
          <w:p w14:paraId="37548361" w14:textId="1ECA40E3" w:rsidR="00C51D87" w:rsidRPr="00F6597C" w:rsidRDefault="009822CA" w:rsidP="00177EA0">
            <w:pPr>
              <w:spacing w:line="276" w:lineRule="auto"/>
              <w:jc w:val="center"/>
              <w:rPr>
                <w:rFonts w:cstheme="minorHAnsi"/>
                <w:b/>
                <w:bCs/>
              </w:rPr>
            </w:pPr>
            <w:r w:rsidRPr="00F6597C">
              <w:rPr>
                <w:rFonts w:cstheme="minorHAnsi"/>
              </w:rPr>
              <w:t>5 days</w:t>
            </w:r>
          </w:p>
        </w:tc>
      </w:tr>
      <w:tr w:rsidR="00C51D87" w:rsidRPr="00F6597C" w14:paraId="75EB4112" w14:textId="77777777" w:rsidTr="00177EA0">
        <w:trPr>
          <w:trHeight w:val="521"/>
        </w:trPr>
        <w:tc>
          <w:tcPr>
            <w:tcW w:w="6433" w:type="dxa"/>
          </w:tcPr>
          <w:p w14:paraId="54880DE3" w14:textId="53F0D724" w:rsidR="00C51D87" w:rsidRPr="00F6597C" w:rsidRDefault="00CD1320" w:rsidP="00CD1320">
            <w:pPr>
              <w:pStyle w:val="ListParagraph"/>
              <w:numPr>
                <w:ilvl w:val="0"/>
                <w:numId w:val="23"/>
              </w:numPr>
              <w:spacing w:after="0" w:line="240" w:lineRule="auto"/>
              <w:rPr>
                <w:rFonts w:asciiTheme="minorHAnsi" w:hAnsiTheme="minorHAnsi" w:cstheme="minorHAnsi"/>
              </w:rPr>
            </w:pPr>
            <w:r w:rsidRPr="00F6597C">
              <w:rPr>
                <w:rFonts w:asciiTheme="minorHAnsi" w:hAnsiTheme="minorHAnsi" w:cstheme="minorHAnsi"/>
              </w:rPr>
              <w:t>Additional data collection, portfolio review and interviews/necessary follow ups after data collection mission</w:t>
            </w:r>
          </w:p>
        </w:tc>
        <w:tc>
          <w:tcPr>
            <w:tcW w:w="2364" w:type="dxa"/>
          </w:tcPr>
          <w:p w14:paraId="0289A77E" w14:textId="00505F09" w:rsidR="00C51D87" w:rsidRPr="00F6597C" w:rsidRDefault="009822CA" w:rsidP="00177EA0">
            <w:pPr>
              <w:spacing w:line="276" w:lineRule="auto"/>
              <w:jc w:val="center"/>
              <w:rPr>
                <w:rFonts w:cstheme="minorHAnsi"/>
                <w:b/>
                <w:bCs/>
              </w:rPr>
            </w:pPr>
            <w:r w:rsidRPr="00F6597C">
              <w:rPr>
                <w:rFonts w:cstheme="minorHAnsi"/>
              </w:rPr>
              <w:t>5 days</w:t>
            </w:r>
          </w:p>
        </w:tc>
      </w:tr>
      <w:tr w:rsidR="00C51D87" w:rsidRPr="00F6597C" w14:paraId="0A716762" w14:textId="77777777" w:rsidTr="00177EA0">
        <w:trPr>
          <w:trHeight w:val="521"/>
        </w:trPr>
        <w:tc>
          <w:tcPr>
            <w:tcW w:w="6433" w:type="dxa"/>
          </w:tcPr>
          <w:p w14:paraId="5D2C4780" w14:textId="3D729692" w:rsidR="00C51D87" w:rsidRPr="00F6597C" w:rsidRDefault="00CD1320" w:rsidP="00CD1320">
            <w:pPr>
              <w:pStyle w:val="ListParagraph"/>
              <w:numPr>
                <w:ilvl w:val="0"/>
                <w:numId w:val="23"/>
              </w:numPr>
              <w:spacing w:after="0"/>
              <w:rPr>
                <w:rFonts w:asciiTheme="minorHAnsi" w:hAnsiTheme="minorHAnsi" w:cstheme="minorHAnsi"/>
              </w:rPr>
            </w:pPr>
            <w:r w:rsidRPr="00F6597C">
              <w:rPr>
                <w:rFonts w:asciiTheme="minorHAnsi" w:hAnsiTheme="minorHAnsi" w:cstheme="minorHAnsi"/>
              </w:rPr>
              <w:t>In country data collection</w:t>
            </w:r>
          </w:p>
        </w:tc>
        <w:tc>
          <w:tcPr>
            <w:tcW w:w="2364" w:type="dxa"/>
          </w:tcPr>
          <w:p w14:paraId="06BFE2EE" w14:textId="02AA22CB" w:rsidR="00C51D87" w:rsidRPr="00F6597C" w:rsidRDefault="009822CA" w:rsidP="00177EA0">
            <w:pPr>
              <w:spacing w:line="276" w:lineRule="auto"/>
              <w:jc w:val="center"/>
              <w:rPr>
                <w:rFonts w:cstheme="minorHAnsi"/>
                <w:b/>
                <w:bCs/>
              </w:rPr>
            </w:pPr>
            <w:r w:rsidRPr="00F6597C">
              <w:rPr>
                <w:rFonts w:cstheme="minorHAnsi"/>
              </w:rPr>
              <w:t>10 days</w:t>
            </w:r>
          </w:p>
        </w:tc>
      </w:tr>
      <w:tr w:rsidR="00C51D87" w:rsidRPr="00F6597C" w14:paraId="7206D679" w14:textId="77777777" w:rsidTr="00177EA0">
        <w:trPr>
          <w:trHeight w:val="521"/>
        </w:trPr>
        <w:tc>
          <w:tcPr>
            <w:tcW w:w="6433" w:type="dxa"/>
          </w:tcPr>
          <w:p w14:paraId="3B97C071" w14:textId="464293DE" w:rsidR="00C51D87" w:rsidRPr="00F6597C" w:rsidRDefault="00CD1320" w:rsidP="00CD1320">
            <w:pPr>
              <w:pStyle w:val="ListParagraph"/>
              <w:numPr>
                <w:ilvl w:val="0"/>
                <w:numId w:val="23"/>
              </w:numPr>
              <w:spacing w:after="0"/>
              <w:rPr>
                <w:rFonts w:asciiTheme="minorHAnsi" w:hAnsiTheme="minorHAnsi" w:cstheme="minorHAnsi"/>
              </w:rPr>
            </w:pPr>
            <w:r w:rsidRPr="00F6597C">
              <w:rPr>
                <w:rFonts w:asciiTheme="minorHAnsi" w:hAnsiTheme="minorHAnsi" w:cstheme="minorHAnsi"/>
              </w:rPr>
              <w:t>Support to data analysis</w:t>
            </w:r>
          </w:p>
        </w:tc>
        <w:tc>
          <w:tcPr>
            <w:tcW w:w="2364" w:type="dxa"/>
          </w:tcPr>
          <w:p w14:paraId="47BE7E7A" w14:textId="1CB10048" w:rsidR="00C51D87" w:rsidRPr="00F6597C" w:rsidRDefault="009822CA" w:rsidP="00177EA0">
            <w:pPr>
              <w:spacing w:line="276" w:lineRule="auto"/>
              <w:jc w:val="center"/>
              <w:rPr>
                <w:rFonts w:cstheme="minorHAnsi"/>
                <w:b/>
                <w:bCs/>
              </w:rPr>
            </w:pPr>
            <w:r w:rsidRPr="00F6597C">
              <w:rPr>
                <w:rFonts w:cstheme="minorHAnsi"/>
              </w:rPr>
              <w:t>6 days</w:t>
            </w:r>
          </w:p>
        </w:tc>
      </w:tr>
      <w:tr w:rsidR="00C51D87" w:rsidRPr="00F6597C" w14:paraId="31269C4A" w14:textId="77777777" w:rsidTr="009822CA">
        <w:trPr>
          <w:trHeight w:val="449"/>
        </w:trPr>
        <w:tc>
          <w:tcPr>
            <w:tcW w:w="6433" w:type="dxa"/>
          </w:tcPr>
          <w:p w14:paraId="0B5EDD17" w14:textId="6B72A7FF" w:rsidR="00C51D87" w:rsidRPr="00F6597C" w:rsidRDefault="00CD1320" w:rsidP="00CD1320">
            <w:pPr>
              <w:pStyle w:val="ListParagraph"/>
              <w:numPr>
                <w:ilvl w:val="0"/>
                <w:numId w:val="23"/>
              </w:numPr>
              <w:spacing w:after="0"/>
              <w:rPr>
                <w:rFonts w:asciiTheme="minorHAnsi" w:hAnsiTheme="minorHAnsi" w:cstheme="minorHAnsi"/>
              </w:rPr>
            </w:pPr>
            <w:r w:rsidRPr="00F6597C">
              <w:rPr>
                <w:rFonts w:asciiTheme="minorHAnsi" w:hAnsiTheme="minorHAnsi" w:cstheme="minorHAnsi"/>
              </w:rPr>
              <w:t>Preparation of draft report</w:t>
            </w:r>
            <w:r w:rsidR="007B315D">
              <w:rPr>
                <w:rFonts w:asciiTheme="minorHAnsi" w:hAnsiTheme="minorHAnsi" w:cstheme="minorHAnsi"/>
              </w:rPr>
              <w:t xml:space="preserve"> </w:t>
            </w:r>
            <w:r w:rsidR="007B315D" w:rsidRPr="005E5638">
              <w:rPr>
                <w:rFonts w:asciiTheme="minorHAnsi" w:hAnsiTheme="minorHAnsi" w:cstheme="minorHAnsi"/>
              </w:rPr>
              <w:t>(two rounds of review by IES and ERGs are expected)</w:t>
            </w:r>
          </w:p>
        </w:tc>
        <w:tc>
          <w:tcPr>
            <w:tcW w:w="2364" w:type="dxa"/>
          </w:tcPr>
          <w:p w14:paraId="51547C05" w14:textId="02281328" w:rsidR="00C51D87" w:rsidRPr="00F6597C" w:rsidRDefault="005E5638" w:rsidP="00177EA0">
            <w:pPr>
              <w:spacing w:line="276" w:lineRule="auto"/>
              <w:jc w:val="center"/>
              <w:rPr>
                <w:rFonts w:cstheme="minorHAnsi"/>
                <w:b/>
                <w:bCs/>
              </w:rPr>
            </w:pPr>
            <w:r>
              <w:rPr>
                <w:rFonts w:cstheme="minorHAnsi"/>
              </w:rPr>
              <w:t>6</w:t>
            </w:r>
            <w:r w:rsidR="009822CA" w:rsidRPr="00F6597C">
              <w:rPr>
                <w:rFonts w:cstheme="minorHAnsi"/>
              </w:rPr>
              <w:t xml:space="preserve"> days</w:t>
            </w:r>
          </w:p>
        </w:tc>
      </w:tr>
      <w:tr w:rsidR="00C51D87" w:rsidRPr="00F6597C" w14:paraId="4A8E8E89" w14:textId="77777777" w:rsidTr="009822CA">
        <w:trPr>
          <w:trHeight w:val="440"/>
        </w:trPr>
        <w:tc>
          <w:tcPr>
            <w:tcW w:w="6433" w:type="dxa"/>
          </w:tcPr>
          <w:p w14:paraId="31469FDF" w14:textId="35F13778" w:rsidR="00C51D87" w:rsidRPr="00F6597C" w:rsidRDefault="00CD1320" w:rsidP="00CD1320">
            <w:pPr>
              <w:pStyle w:val="ListParagraph"/>
              <w:numPr>
                <w:ilvl w:val="0"/>
                <w:numId w:val="23"/>
              </w:numPr>
              <w:spacing w:after="0"/>
              <w:jc w:val="both"/>
              <w:rPr>
                <w:rFonts w:asciiTheme="minorHAnsi" w:hAnsiTheme="minorHAnsi" w:cstheme="minorHAnsi"/>
              </w:rPr>
            </w:pPr>
            <w:r w:rsidRPr="00F6597C">
              <w:rPr>
                <w:rFonts w:asciiTheme="minorHAnsi" w:hAnsiTheme="minorHAnsi" w:cstheme="minorHAnsi"/>
              </w:rPr>
              <w:t>Inputs to final report</w:t>
            </w:r>
          </w:p>
        </w:tc>
        <w:tc>
          <w:tcPr>
            <w:tcW w:w="2364" w:type="dxa"/>
          </w:tcPr>
          <w:p w14:paraId="7D6FF172" w14:textId="426A5289" w:rsidR="00C51D87" w:rsidRPr="00F6597C" w:rsidRDefault="009822CA" w:rsidP="00177EA0">
            <w:pPr>
              <w:spacing w:line="276" w:lineRule="auto"/>
              <w:jc w:val="center"/>
              <w:rPr>
                <w:rFonts w:cstheme="minorHAnsi"/>
                <w:b/>
                <w:bCs/>
              </w:rPr>
            </w:pPr>
            <w:r w:rsidRPr="00F6597C">
              <w:rPr>
                <w:rFonts w:cstheme="minorHAnsi"/>
              </w:rPr>
              <w:t>2 days</w:t>
            </w:r>
          </w:p>
        </w:tc>
      </w:tr>
      <w:tr w:rsidR="00C51D87" w:rsidRPr="00F6597C" w14:paraId="249E4C3D" w14:textId="77777777" w:rsidTr="00177EA0">
        <w:tc>
          <w:tcPr>
            <w:tcW w:w="6433" w:type="dxa"/>
          </w:tcPr>
          <w:p w14:paraId="59FEFBCE" w14:textId="77777777" w:rsidR="00C51D87" w:rsidRPr="00F6597C" w:rsidRDefault="00C51D87" w:rsidP="00177EA0">
            <w:pPr>
              <w:spacing w:line="276" w:lineRule="auto"/>
              <w:ind w:left="342" w:right="-30"/>
              <w:jc w:val="both"/>
              <w:rPr>
                <w:rFonts w:cstheme="minorHAnsi"/>
                <w:b/>
              </w:rPr>
            </w:pPr>
            <w:r w:rsidRPr="00F6597C">
              <w:rPr>
                <w:rFonts w:cstheme="minorHAnsi"/>
                <w:b/>
              </w:rPr>
              <w:t>Total</w:t>
            </w:r>
          </w:p>
        </w:tc>
        <w:tc>
          <w:tcPr>
            <w:tcW w:w="2364" w:type="dxa"/>
          </w:tcPr>
          <w:p w14:paraId="260EE61A" w14:textId="2DBB9CA4" w:rsidR="00C51D87" w:rsidRPr="00F6597C" w:rsidRDefault="00C51D87" w:rsidP="00177EA0">
            <w:pPr>
              <w:spacing w:line="276" w:lineRule="auto"/>
              <w:jc w:val="center"/>
              <w:rPr>
                <w:rFonts w:cstheme="minorHAnsi"/>
                <w:b/>
              </w:rPr>
            </w:pPr>
            <w:r w:rsidRPr="00F6597C">
              <w:rPr>
                <w:rFonts w:cstheme="minorHAnsi"/>
                <w:b/>
              </w:rPr>
              <w:t>Up to 3</w:t>
            </w:r>
            <w:r w:rsidR="005E5638">
              <w:rPr>
                <w:rFonts w:cstheme="minorHAnsi"/>
                <w:b/>
              </w:rPr>
              <w:t>4</w:t>
            </w:r>
            <w:r w:rsidRPr="00F6597C">
              <w:rPr>
                <w:rFonts w:cstheme="minorHAnsi"/>
                <w:b/>
              </w:rPr>
              <w:t xml:space="preserve"> days </w:t>
            </w:r>
          </w:p>
        </w:tc>
      </w:tr>
    </w:tbl>
    <w:p w14:paraId="4A31DDEF" w14:textId="77777777" w:rsidR="001F4375" w:rsidRPr="00F6597C" w:rsidRDefault="001F4375" w:rsidP="0049622E">
      <w:pPr>
        <w:jc w:val="both"/>
        <w:rPr>
          <w:rFonts w:cstheme="minorHAnsi"/>
        </w:rPr>
      </w:pPr>
    </w:p>
    <w:p w14:paraId="63D17722" w14:textId="50B4FBEF" w:rsidR="00C27A9B" w:rsidRPr="00F6597C" w:rsidRDefault="00C27A9B" w:rsidP="00B0063E">
      <w:pPr>
        <w:jc w:val="both"/>
        <w:rPr>
          <w:rFonts w:cstheme="minorHAnsi"/>
        </w:rPr>
      </w:pPr>
      <w:r w:rsidRPr="00F6597C">
        <w:rPr>
          <w:rFonts w:cstheme="minorHAnsi"/>
        </w:rPr>
        <w:t>An interpreter/translator will be used from the existing LTA agreement on such services for the inception consultations, data collection during the field mission and translation of final report, as needed.</w:t>
      </w:r>
    </w:p>
    <w:p w14:paraId="75D43641" w14:textId="39219733" w:rsidR="00C27A9B" w:rsidRPr="00F6597C" w:rsidRDefault="00C27A9B" w:rsidP="00660768">
      <w:pPr>
        <w:jc w:val="both"/>
        <w:rPr>
          <w:rFonts w:cstheme="minorHAnsi"/>
        </w:rPr>
      </w:pPr>
      <w:r w:rsidRPr="00F6597C">
        <w:rPr>
          <w:rFonts w:cstheme="minorHAnsi"/>
          <w:b/>
          <w:bCs/>
        </w:rPr>
        <w:t>The National Consultant must possess the following qualifications</w:t>
      </w:r>
      <w:r w:rsidRPr="00F6597C">
        <w:rPr>
          <w:rFonts w:cstheme="minorHAnsi"/>
        </w:rPr>
        <w:t>:</w:t>
      </w:r>
    </w:p>
    <w:p w14:paraId="693252D2" w14:textId="77777777" w:rsidR="00C27A9B" w:rsidRPr="00F6597C" w:rsidRDefault="00C27A9B" w:rsidP="00660768">
      <w:pPr>
        <w:ind w:firstLine="426"/>
        <w:jc w:val="both"/>
        <w:rPr>
          <w:rFonts w:cstheme="minorHAnsi"/>
        </w:rPr>
      </w:pPr>
      <w:r w:rsidRPr="00F6597C">
        <w:rPr>
          <w:rFonts w:cstheme="minorHAnsi"/>
          <w:b/>
          <w:bCs/>
        </w:rPr>
        <w:t>Education</w:t>
      </w:r>
      <w:r w:rsidRPr="00F6597C">
        <w:rPr>
          <w:rFonts w:cstheme="minorHAnsi"/>
        </w:rPr>
        <w:t>:</w:t>
      </w:r>
    </w:p>
    <w:p w14:paraId="01182DF7" w14:textId="707EA9ED" w:rsidR="00C27A9B" w:rsidRPr="00F6597C" w:rsidRDefault="00C27A9B" w:rsidP="00660768">
      <w:pPr>
        <w:ind w:firstLine="426"/>
        <w:jc w:val="both"/>
        <w:rPr>
          <w:rFonts w:cstheme="minorHAnsi"/>
        </w:rPr>
      </w:pPr>
      <w:r w:rsidRPr="00F6597C">
        <w:rPr>
          <w:rFonts w:cstheme="minorHAnsi"/>
        </w:rPr>
        <w:t xml:space="preserve">• </w:t>
      </w:r>
      <w:r w:rsidR="00CE2298" w:rsidRPr="00F6597C">
        <w:rPr>
          <w:rFonts w:cstheme="minorHAnsi"/>
        </w:rPr>
        <w:t>Master’s degree in sociology, international development, social sciences, or another related area</w:t>
      </w:r>
    </w:p>
    <w:p w14:paraId="17A8203E" w14:textId="77777777" w:rsidR="00C27A9B" w:rsidRPr="00F6597C" w:rsidRDefault="00C27A9B" w:rsidP="00660768">
      <w:pPr>
        <w:ind w:firstLine="426"/>
        <w:jc w:val="both"/>
        <w:rPr>
          <w:rFonts w:cstheme="minorHAnsi"/>
        </w:rPr>
      </w:pPr>
      <w:r w:rsidRPr="00F6597C">
        <w:rPr>
          <w:rFonts w:cstheme="minorHAnsi"/>
          <w:b/>
          <w:bCs/>
        </w:rPr>
        <w:t>Experience</w:t>
      </w:r>
      <w:r w:rsidRPr="00F6597C">
        <w:rPr>
          <w:rFonts w:cstheme="minorHAnsi"/>
        </w:rPr>
        <w:t>:</w:t>
      </w:r>
    </w:p>
    <w:p w14:paraId="27E9B741" w14:textId="77777777" w:rsidR="00C27A9B" w:rsidRPr="00F6597C" w:rsidRDefault="00C27A9B" w:rsidP="00660768">
      <w:pPr>
        <w:spacing w:after="0"/>
        <w:ind w:left="567" w:hanging="141"/>
        <w:jc w:val="both"/>
        <w:rPr>
          <w:rFonts w:cstheme="minorHAnsi"/>
        </w:rPr>
      </w:pPr>
      <w:r w:rsidRPr="00F6597C">
        <w:rPr>
          <w:rFonts w:cstheme="minorHAnsi"/>
        </w:rPr>
        <w:t>• Minimum 5 years of professional experience on relevant development GEWE related issues, including substantive support to several evaluation processes</w:t>
      </w:r>
    </w:p>
    <w:p w14:paraId="4C27F797" w14:textId="6C30B960" w:rsidR="00C27A9B" w:rsidRPr="00F6597C" w:rsidRDefault="00C27A9B" w:rsidP="00660768">
      <w:pPr>
        <w:spacing w:after="0"/>
        <w:ind w:firstLine="426"/>
        <w:jc w:val="both"/>
        <w:rPr>
          <w:rFonts w:cstheme="minorHAnsi"/>
        </w:rPr>
      </w:pPr>
      <w:r w:rsidRPr="00F6597C">
        <w:rPr>
          <w:rFonts w:cstheme="minorHAnsi"/>
        </w:rPr>
        <w:t xml:space="preserve">• </w:t>
      </w:r>
      <w:r w:rsidR="00313EB1" w:rsidRPr="00F6597C">
        <w:rPr>
          <w:rFonts w:cstheme="minorHAnsi"/>
        </w:rPr>
        <w:t xml:space="preserve">Experience </w:t>
      </w:r>
      <w:r w:rsidRPr="00F6597C">
        <w:rPr>
          <w:rFonts w:cstheme="minorHAnsi"/>
        </w:rPr>
        <w:t>in monitoring and evaluation</w:t>
      </w:r>
    </w:p>
    <w:p w14:paraId="34523C2D" w14:textId="77777777" w:rsidR="00C27A9B" w:rsidRPr="00F6597C" w:rsidRDefault="00C27A9B" w:rsidP="00660768">
      <w:pPr>
        <w:spacing w:after="0"/>
        <w:ind w:firstLine="426"/>
        <w:jc w:val="both"/>
        <w:rPr>
          <w:rFonts w:cstheme="minorHAnsi"/>
        </w:rPr>
      </w:pPr>
      <w:r w:rsidRPr="00F6597C">
        <w:rPr>
          <w:rFonts w:cstheme="minorHAnsi"/>
        </w:rPr>
        <w:t>• Experience of gender analysis and human rights-based approaches</w:t>
      </w:r>
    </w:p>
    <w:p w14:paraId="61662549" w14:textId="6DC53932" w:rsidR="0071162C" w:rsidRDefault="00C27A9B" w:rsidP="005472C0">
      <w:pPr>
        <w:spacing w:after="0"/>
        <w:ind w:left="426"/>
        <w:jc w:val="both"/>
        <w:rPr>
          <w:rFonts w:cstheme="minorHAnsi"/>
        </w:rPr>
      </w:pPr>
      <w:r w:rsidRPr="00F6597C">
        <w:rPr>
          <w:rFonts w:cstheme="minorHAnsi"/>
        </w:rPr>
        <w:t xml:space="preserve">• </w:t>
      </w:r>
      <w:r w:rsidR="000E07AA" w:rsidRPr="00F6597C">
        <w:rPr>
          <w:rFonts w:cstheme="minorHAnsi"/>
        </w:rPr>
        <w:t xml:space="preserve">Previous experience in similar assignments with UN agencies and other international </w:t>
      </w:r>
      <w:r w:rsidR="00E81486" w:rsidRPr="00F6597C">
        <w:rPr>
          <w:rFonts w:cstheme="minorHAnsi"/>
        </w:rPr>
        <w:t>organizations</w:t>
      </w:r>
      <w:r w:rsidR="000E07AA" w:rsidRPr="00F6597C">
        <w:rPr>
          <w:rFonts w:cstheme="minorHAnsi"/>
        </w:rPr>
        <w:t>.</w:t>
      </w:r>
    </w:p>
    <w:p w14:paraId="42303850" w14:textId="77777777" w:rsidR="005472C0" w:rsidRPr="005472C0" w:rsidRDefault="005472C0" w:rsidP="005472C0">
      <w:pPr>
        <w:spacing w:after="0"/>
        <w:ind w:left="426"/>
        <w:jc w:val="both"/>
        <w:rPr>
          <w:rFonts w:cstheme="minorHAnsi"/>
        </w:rPr>
      </w:pPr>
    </w:p>
    <w:p w14:paraId="55973CAB" w14:textId="7602B852" w:rsidR="00C27A9B" w:rsidRPr="00F6597C" w:rsidRDefault="00C27A9B" w:rsidP="00660768">
      <w:pPr>
        <w:ind w:firstLine="426"/>
        <w:jc w:val="both"/>
        <w:rPr>
          <w:rFonts w:cstheme="minorHAnsi"/>
          <w:b/>
          <w:bCs/>
        </w:rPr>
      </w:pPr>
      <w:r w:rsidRPr="00F6597C">
        <w:rPr>
          <w:rFonts w:cstheme="minorHAnsi"/>
          <w:b/>
          <w:bCs/>
        </w:rPr>
        <w:t>Language:</w:t>
      </w:r>
    </w:p>
    <w:p w14:paraId="25FF6056" w14:textId="2BF9504F" w:rsidR="00C27A9B" w:rsidRPr="00F6597C" w:rsidRDefault="00C27A9B" w:rsidP="00660768">
      <w:pPr>
        <w:ind w:firstLine="426"/>
        <w:jc w:val="both"/>
        <w:rPr>
          <w:rFonts w:cstheme="minorHAnsi"/>
        </w:rPr>
      </w:pPr>
      <w:r w:rsidRPr="00F6597C">
        <w:rPr>
          <w:rFonts w:cstheme="minorHAnsi"/>
        </w:rPr>
        <w:t xml:space="preserve">• Fluent in English, </w:t>
      </w:r>
      <w:r w:rsidR="009B65C8" w:rsidRPr="00F6597C">
        <w:rPr>
          <w:rFonts w:cstheme="minorHAnsi"/>
        </w:rPr>
        <w:t xml:space="preserve">Romanian </w:t>
      </w:r>
      <w:r w:rsidRPr="00F6597C">
        <w:rPr>
          <w:rFonts w:cstheme="minorHAnsi"/>
        </w:rPr>
        <w:t>written and spoken</w:t>
      </w:r>
      <w:r w:rsidR="009B65C8" w:rsidRPr="00F6597C">
        <w:rPr>
          <w:rFonts w:cstheme="minorHAnsi"/>
        </w:rPr>
        <w:t>. Knowledge of Russian</w:t>
      </w:r>
      <w:r w:rsidR="00055C04" w:rsidRPr="00F6597C">
        <w:rPr>
          <w:rFonts w:cstheme="minorHAnsi"/>
        </w:rPr>
        <w:t xml:space="preserve"> will be an </w:t>
      </w:r>
      <w:r w:rsidR="00E81486" w:rsidRPr="00F6597C">
        <w:rPr>
          <w:rFonts w:cstheme="minorHAnsi"/>
        </w:rPr>
        <w:t>asset</w:t>
      </w:r>
      <w:r w:rsidR="00055C04" w:rsidRPr="00F6597C">
        <w:rPr>
          <w:rFonts w:cstheme="minorHAnsi"/>
        </w:rPr>
        <w:t>.</w:t>
      </w:r>
    </w:p>
    <w:p w14:paraId="1915243B" w14:textId="0CC2FDBB" w:rsidR="00203C41" w:rsidRPr="00004C78" w:rsidRDefault="00E81486" w:rsidP="00203C41">
      <w:pPr>
        <w:jc w:val="both"/>
        <w:rPr>
          <w:rFonts w:cstheme="minorHAnsi"/>
        </w:rPr>
      </w:pPr>
      <w:r w:rsidRPr="00F6597C">
        <w:rPr>
          <w:rFonts w:cstheme="minorHAnsi"/>
        </w:rPr>
        <w:t>C</w:t>
      </w:r>
      <w:r w:rsidR="00C27A9B" w:rsidRPr="00F6597C">
        <w:rPr>
          <w:rFonts w:cstheme="minorHAnsi"/>
        </w:rPr>
        <w:t>onsultant should have proven commitment to the core values of the United Nations, in particular respecting differences of culture, gender, religion, ethnicity, nationality, language, age, HIV status, disability, and sexual orientation, or other.</w:t>
      </w:r>
      <w:r w:rsidR="00203C41">
        <w:rPr>
          <w:rFonts w:cstheme="minorHAnsi"/>
        </w:rPr>
        <w:t xml:space="preserve">  </w:t>
      </w:r>
      <w:r w:rsidR="00203C41" w:rsidRPr="00902664">
        <w:rPr>
          <w:rFonts w:cstheme="minorHAnsi"/>
          <w:b/>
          <w:bCs/>
        </w:rPr>
        <w:t>This is an independent evaluation process and hence, in order to avoid any potential conflict of interest, none of the members of the evaluation team can have had any previous direct involvement in the implementation of UN Women’s Moldova CO SN.</w:t>
      </w:r>
      <w:r w:rsidR="00203C41">
        <w:rPr>
          <w:rFonts w:cstheme="minorHAnsi"/>
        </w:rPr>
        <w:t xml:space="preserve">  </w:t>
      </w:r>
    </w:p>
    <w:p w14:paraId="12891C05" w14:textId="4EED3D4A" w:rsidR="00A66D7B" w:rsidRDefault="00A66D7B" w:rsidP="00E14C52">
      <w:pPr>
        <w:spacing w:after="0"/>
        <w:jc w:val="both"/>
        <w:rPr>
          <w:rFonts w:cstheme="minorHAnsi"/>
          <w:b/>
          <w:bCs/>
        </w:rPr>
      </w:pPr>
    </w:p>
    <w:p w14:paraId="7E550CC1" w14:textId="77777777" w:rsidR="005472C0" w:rsidRDefault="005472C0" w:rsidP="00E14C52">
      <w:pPr>
        <w:spacing w:after="0"/>
        <w:jc w:val="both"/>
        <w:rPr>
          <w:rFonts w:cstheme="minorHAnsi"/>
          <w:b/>
          <w:bCs/>
        </w:rPr>
      </w:pPr>
    </w:p>
    <w:p w14:paraId="53544D11" w14:textId="52DA0F48" w:rsidR="00C27A9B" w:rsidRPr="00F6597C" w:rsidRDefault="00C27A9B" w:rsidP="00E14C52">
      <w:pPr>
        <w:spacing w:after="0"/>
        <w:jc w:val="both"/>
        <w:rPr>
          <w:rFonts w:cstheme="minorHAnsi"/>
        </w:rPr>
      </w:pPr>
      <w:r w:rsidRPr="00F6597C">
        <w:rPr>
          <w:rFonts w:cstheme="minorHAnsi"/>
          <w:b/>
          <w:bCs/>
        </w:rPr>
        <w:lastRenderedPageBreak/>
        <w:t>Core Values</w:t>
      </w:r>
      <w:r w:rsidRPr="00F6597C">
        <w:rPr>
          <w:rFonts w:cstheme="minorHAnsi"/>
        </w:rPr>
        <w:t>:</w:t>
      </w:r>
    </w:p>
    <w:p w14:paraId="641D71AC" w14:textId="77777777" w:rsidR="00C27A9B" w:rsidRPr="00F6597C" w:rsidRDefault="00C27A9B" w:rsidP="00E14C52">
      <w:pPr>
        <w:spacing w:after="0"/>
        <w:jc w:val="both"/>
        <w:rPr>
          <w:rFonts w:cstheme="minorHAnsi"/>
        </w:rPr>
      </w:pPr>
      <w:r w:rsidRPr="00F6597C">
        <w:rPr>
          <w:rFonts w:cstheme="minorHAnsi"/>
        </w:rPr>
        <w:t>• Respect for Diversity;</w:t>
      </w:r>
    </w:p>
    <w:p w14:paraId="589EADEC" w14:textId="77777777" w:rsidR="00C27A9B" w:rsidRPr="00F6597C" w:rsidRDefault="00C27A9B" w:rsidP="00E14C52">
      <w:pPr>
        <w:spacing w:after="0"/>
        <w:jc w:val="both"/>
        <w:rPr>
          <w:rFonts w:cstheme="minorHAnsi"/>
        </w:rPr>
      </w:pPr>
      <w:r w:rsidRPr="00F6597C">
        <w:rPr>
          <w:rFonts w:cstheme="minorHAnsi"/>
        </w:rPr>
        <w:t>• Integrity;</w:t>
      </w:r>
    </w:p>
    <w:p w14:paraId="5A8319CA" w14:textId="77777777" w:rsidR="00C27A9B" w:rsidRPr="00F6597C" w:rsidRDefault="00C27A9B" w:rsidP="00E14C52">
      <w:pPr>
        <w:spacing w:after="0"/>
        <w:jc w:val="both"/>
        <w:rPr>
          <w:rFonts w:cstheme="minorHAnsi"/>
        </w:rPr>
      </w:pPr>
      <w:r w:rsidRPr="00F6597C">
        <w:rPr>
          <w:rFonts w:cstheme="minorHAnsi"/>
        </w:rPr>
        <w:t>• Professionalism.</w:t>
      </w:r>
    </w:p>
    <w:p w14:paraId="7281392A" w14:textId="77777777" w:rsidR="00C27A9B" w:rsidRPr="00F6597C" w:rsidRDefault="00C27A9B" w:rsidP="00E14C52">
      <w:pPr>
        <w:spacing w:after="0"/>
        <w:jc w:val="both"/>
        <w:rPr>
          <w:rFonts w:cstheme="minorHAnsi"/>
        </w:rPr>
      </w:pPr>
      <w:r w:rsidRPr="00F6597C">
        <w:rPr>
          <w:rFonts w:cstheme="minorHAnsi"/>
          <w:b/>
          <w:bCs/>
        </w:rPr>
        <w:t>Core Competencies</w:t>
      </w:r>
      <w:r w:rsidRPr="00F6597C">
        <w:rPr>
          <w:rFonts w:cstheme="minorHAnsi"/>
        </w:rPr>
        <w:t>:</w:t>
      </w:r>
    </w:p>
    <w:p w14:paraId="627AF7D7" w14:textId="77777777" w:rsidR="00C27A9B" w:rsidRPr="00F6597C" w:rsidRDefault="00C27A9B" w:rsidP="00E14C52">
      <w:pPr>
        <w:spacing w:after="0"/>
        <w:jc w:val="both"/>
        <w:rPr>
          <w:rFonts w:cstheme="minorHAnsi"/>
        </w:rPr>
      </w:pPr>
      <w:r w:rsidRPr="00F6597C">
        <w:rPr>
          <w:rFonts w:cstheme="minorHAnsi"/>
        </w:rPr>
        <w:t>• Awareness and Sensitivity Regarding Gender Issues;</w:t>
      </w:r>
    </w:p>
    <w:p w14:paraId="2282EF6A" w14:textId="07E17EF2" w:rsidR="00C27A9B" w:rsidRPr="00F6597C" w:rsidRDefault="00C27A9B" w:rsidP="00E14C52">
      <w:pPr>
        <w:spacing w:after="0"/>
        <w:jc w:val="both"/>
        <w:rPr>
          <w:rFonts w:cstheme="minorHAnsi"/>
        </w:rPr>
      </w:pPr>
      <w:r w:rsidRPr="00F6597C">
        <w:rPr>
          <w:rFonts w:cstheme="minorHAnsi"/>
        </w:rPr>
        <w:t>• Accountability;</w:t>
      </w:r>
    </w:p>
    <w:p w14:paraId="70CFCBA0" w14:textId="12419528" w:rsidR="00C72A93" w:rsidRPr="00F6597C" w:rsidRDefault="00C72A93" w:rsidP="00E14C52">
      <w:pPr>
        <w:pStyle w:val="ListParagraph"/>
        <w:numPr>
          <w:ilvl w:val="0"/>
          <w:numId w:val="9"/>
        </w:numPr>
        <w:spacing w:after="0"/>
        <w:ind w:left="142" w:hanging="142"/>
        <w:jc w:val="both"/>
        <w:rPr>
          <w:rFonts w:asciiTheme="minorHAnsi" w:hAnsiTheme="minorHAnsi" w:cstheme="minorHAnsi"/>
        </w:rPr>
      </w:pPr>
      <w:r w:rsidRPr="00F6597C">
        <w:rPr>
          <w:rFonts w:asciiTheme="minorHAnsi" w:hAnsiTheme="minorHAnsi" w:cstheme="minorHAnsi"/>
        </w:rPr>
        <w:t>Creative Problem Solving</w:t>
      </w:r>
    </w:p>
    <w:p w14:paraId="14277619" w14:textId="77777777" w:rsidR="00C27A9B" w:rsidRPr="00F6597C" w:rsidRDefault="00C27A9B" w:rsidP="00E14C52">
      <w:pPr>
        <w:spacing w:after="0"/>
        <w:jc w:val="both"/>
        <w:rPr>
          <w:rFonts w:cstheme="minorHAnsi"/>
        </w:rPr>
      </w:pPr>
      <w:r w:rsidRPr="00F6597C">
        <w:rPr>
          <w:rFonts w:cstheme="minorHAnsi"/>
        </w:rPr>
        <w:t>• Effective Communication;</w:t>
      </w:r>
    </w:p>
    <w:p w14:paraId="48EA6696" w14:textId="7CFBB4F9" w:rsidR="00C27A9B" w:rsidRPr="00F6597C" w:rsidRDefault="00C27A9B" w:rsidP="00E14C52">
      <w:pPr>
        <w:spacing w:after="0"/>
        <w:jc w:val="both"/>
        <w:rPr>
          <w:rFonts w:cstheme="minorHAnsi"/>
        </w:rPr>
      </w:pPr>
      <w:r w:rsidRPr="00F6597C">
        <w:rPr>
          <w:rFonts w:cstheme="minorHAnsi"/>
        </w:rPr>
        <w:t>• Inclusive Collaboration.</w:t>
      </w:r>
    </w:p>
    <w:p w14:paraId="5443082C" w14:textId="77777777" w:rsidR="00D50C46" w:rsidRPr="00F6597C" w:rsidRDefault="00D50C46" w:rsidP="00E14C52">
      <w:pPr>
        <w:pStyle w:val="ListParagraph"/>
        <w:numPr>
          <w:ilvl w:val="0"/>
          <w:numId w:val="9"/>
        </w:numPr>
        <w:spacing w:after="0"/>
        <w:ind w:left="142" w:hanging="142"/>
        <w:jc w:val="both"/>
        <w:rPr>
          <w:rFonts w:asciiTheme="minorHAnsi" w:hAnsiTheme="minorHAnsi" w:cstheme="minorHAnsi"/>
        </w:rPr>
      </w:pPr>
      <w:r w:rsidRPr="00F6597C">
        <w:rPr>
          <w:rFonts w:asciiTheme="minorHAnsi" w:hAnsiTheme="minorHAnsi" w:cstheme="minorHAnsi"/>
        </w:rPr>
        <w:t>Stakeholder Engagement</w:t>
      </w:r>
    </w:p>
    <w:p w14:paraId="5F5AC07F" w14:textId="5E62A046" w:rsidR="00D50C46" w:rsidRPr="00F6597C" w:rsidRDefault="00D50C46" w:rsidP="00E14C52">
      <w:pPr>
        <w:pStyle w:val="ListParagraph"/>
        <w:numPr>
          <w:ilvl w:val="0"/>
          <w:numId w:val="9"/>
        </w:numPr>
        <w:spacing w:after="0"/>
        <w:ind w:left="142" w:hanging="142"/>
        <w:jc w:val="both"/>
        <w:rPr>
          <w:rFonts w:asciiTheme="minorHAnsi" w:hAnsiTheme="minorHAnsi" w:cstheme="minorHAnsi"/>
        </w:rPr>
      </w:pPr>
      <w:r w:rsidRPr="00F6597C">
        <w:rPr>
          <w:rFonts w:asciiTheme="minorHAnsi" w:hAnsiTheme="minorHAnsi" w:cstheme="minorHAnsi"/>
        </w:rPr>
        <w:t>Leading by Example</w:t>
      </w:r>
    </w:p>
    <w:p w14:paraId="636E6999" w14:textId="1F835928" w:rsidR="00C27A9B" w:rsidRPr="00F6597C" w:rsidRDefault="00C27A9B" w:rsidP="00F2227C">
      <w:pPr>
        <w:jc w:val="both"/>
        <w:rPr>
          <w:rFonts w:cstheme="minorHAnsi"/>
        </w:rPr>
      </w:pPr>
      <w:r w:rsidRPr="00F6597C">
        <w:rPr>
          <w:rFonts w:cstheme="minorHAnsi"/>
        </w:rPr>
        <w:t xml:space="preserve">To learn more about UN Women values and competencies, please follow the link </w:t>
      </w:r>
      <w:hyperlink r:id="rId18" w:history="1">
        <w:r w:rsidR="000D0668" w:rsidRPr="00F6597C">
          <w:rPr>
            <w:rStyle w:val="Hyperlink"/>
            <w:rFonts w:cstheme="minorHAnsi"/>
          </w:rPr>
          <w:t>https://www.unwomen.org/-/media/headquarters/attachments/sections/about%20us/employment/un-women-values-and-competencies-framework-en.pdf?la=en&amp;vs=637</w:t>
        </w:r>
      </w:hyperlink>
      <w:r w:rsidR="000D0668" w:rsidRPr="00F6597C">
        <w:rPr>
          <w:rFonts w:cstheme="minorHAnsi"/>
        </w:rPr>
        <w:t xml:space="preserve"> </w:t>
      </w:r>
    </w:p>
    <w:p w14:paraId="368E140C" w14:textId="77777777" w:rsidR="00E81486" w:rsidRPr="00F6597C" w:rsidRDefault="00255CAD" w:rsidP="00E81486">
      <w:pPr>
        <w:jc w:val="both"/>
        <w:rPr>
          <w:rFonts w:cstheme="minorHAnsi"/>
        </w:rPr>
      </w:pPr>
      <w:r w:rsidRPr="00F6597C">
        <w:rPr>
          <w:rFonts w:cstheme="minorHAnsi"/>
          <w:b/>
          <w:bCs/>
        </w:rPr>
        <w:t>Functional Competencies</w:t>
      </w:r>
      <w:r w:rsidRPr="00F6597C">
        <w:rPr>
          <w:rFonts w:cstheme="minorHAnsi"/>
        </w:rPr>
        <w:t>:</w:t>
      </w:r>
    </w:p>
    <w:p w14:paraId="451DCD67" w14:textId="74B74990" w:rsidR="00255CAD" w:rsidRPr="00F6597C" w:rsidRDefault="00255CAD" w:rsidP="00E81486">
      <w:pPr>
        <w:pStyle w:val="ListParagraph"/>
        <w:numPr>
          <w:ilvl w:val="0"/>
          <w:numId w:val="22"/>
        </w:numPr>
        <w:jc w:val="both"/>
        <w:rPr>
          <w:rFonts w:asciiTheme="minorHAnsi" w:hAnsiTheme="minorHAnsi" w:cstheme="minorHAnsi"/>
        </w:rPr>
      </w:pPr>
      <w:r w:rsidRPr="00F6597C">
        <w:rPr>
          <w:rFonts w:asciiTheme="minorHAnsi" w:hAnsiTheme="minorHAnsi" w:cstheme="minorHAnsi"/>
        </w:rPr>
        <w:t>Demonstrates professional competence and is conscientious and efficient in meeting</w:t>
      </w:r>
    </w:p>
    <w:p w14:paraId="235DB6A5" w14:textId="77777777" w:rsidR="00255CAD" w:rsidRPr="00F6597C" w:rsidRDefault="00255CAD" w:rsidP="00E81486">
      <w:pPr>
        <w:pStyle w:val="ListParagraph"/>
        <w:numPr>
          <w:ilvl w:val="0"/>
          <w:numId w:val="22"/>
        </w:numPr>
        <w:jc w:val="both"/>
        <w:rPr>
          <w:rFonts w:asciiTheme="minorHAnsi" w:hAnsiTheme="minorHAnsi" w:cstheme="minorHAnsi"/>
        </w:rPr>
      </w:pPr>
      <w:r w:rsidRPr="00F6597C">
        <w:rPr>
          <w:rFonts w:asciiTheme="minorHAnsi" w:hAnsiTheme="minorHAnsi" w:cstheme="minorHAnsi"/>
        </w:rPr>
        <w:t>commitments, observing deadlines and achieving results.</w:t>
      </w:r>
    </w:p>
    <w:p w14:paraId="5D34A3B1" w14:textId="3259AAC8" w:rsidR="00255CAD" w:rsidRPr="00F6597C" w:rsidRDefault="00255CAD" w:rsidP="00E81486">
      <w:pPr>
        <w:pStyle w:val="ListParagraph"/>
        <w:numPr>
          <w:ilvl w:val="0"/>
          <w:numId w:val="22"/>
        </w:numPr>
        <w:jc w:val="both"/>
        <w:rPr>
          <w:rFonts w:asciiTheme="minorHAnsi" w:hAnsiTheme="minorHAnsi" w:cstheme="minorHAnsi"/>
        </w:rPr>
      </w:pPr>
      <w:r w:rsidRPr="00F6597C">
        <w:rPr>
          <w:rFonts w:asciiTheme="minorHAnsi" w:hAnsiTheme="minorHAnsi" w:cstheme="minorHAnsi"/>
        </w:rPr>
        <w:t>Process management skills, including facilitation and communication skills;</w:t>
      </w:r>
    </w:p>
    <w:p w14:paraId="4778AFA4" w14:textId="3C00A41B" w:rsidR="00255CAD" w:rsidRPr="00F6597C" w:rsidRDefault="00255CAD" w:rsidP="00E81486">
      <w:pPr>
        <w:pStyle w:val="ListParagraph"/>
        <w:numPr>
          <w:ilvl w:val="0"/>
          <w:numId w:val="22"/>
        </w:numPr>
        <w:jc w:val="both"/>
        <w:rPr>
          <w:rFonts w:asciiTheme="minorHAnsi" w:hAnsiTheme="minorHAnsi" w:cstheme="minorHAnsi"/>
        </w:rPr>
      </w:pPr>
      <w:r w:rsidRPr="00F6597C">
        <w:rPr>
          <w:rFonts w:asciiTheme="minorHAnsi" w:hAnsiTheme="minorHAnsi" w:cstheme="minorHAnsi"/>
        </w:rPr>
        <w:t>Excellent analytical, facilitation and communications skills and ability to interact with a wide</w:t>
      </w:r>
    </w:p>
    <w:p w14:paraId="7BF70775" w14:textId="77777777" w:rsidR="00255CAD" w:rsidRPr="00F6597C" w:rsidRDefault="00255CAD" w:rsidP="00E81486">
      <w:pPr>
        <w:pStyle w:val="ListParagraph"/>
        <w:numPr>
          <w:ilvl w:val="0"/>
          <w:numId w:val="22"/>
        </w:numPr>
        <w:jc w:val="both"/>
        <w:rPr>
          <w:rFonts w:asciiTheme="minorHAnsi" w:hAnsiTheme="minorHAnsi" w:cstheme="minorHAnsi"/>
        </w:rPr>
      </w:pPr>
      <w:r w:rsidRPr="00F6597C">
        <w:rPr>
          <w:rFonts w:asciiTheme="minorHAnsi" w:hAnsiTheme="minorHAnsi" w:cstheme="minorHAnsi"/>
        </w:rPr>
        <w:t>range of stakeholders;</w:t>
      </w:r>
    </w:p>
    <w:p w14:paraId="4EE60E63" w14:textId="0B0DED35" w:rsidR="00255CAD" w:rsidRPr="00F6597C" w:rsidRDefault="00255CAD" w:rsidP="00E81486">
      <w:pPr>
        <w:pStyle w:val="ListParagraph"/>
        <w:numPr>
          <w:ilvl w:val="0"/>
          <w:numId w:val="22"/>
        </w:numPr>
        <w:jc w:val="both"/>
        <w:rPr>
          <w:rFonts w:asciiTheme="minorHAnsi" w:hAnsiTheme="minorHAnsi" w:cstheme="minorHAnsi"/>
        </w:rPr>
      </w:pPr>
      <w:r w:rsidRPr="00F6597C">
        <w:rPr>
          <w:rFonts w:asciiTheme="minorHAnsi" w:hAnsiTheme="minorHAnsi" w:cstheme="minorHAnsi"/>
        </w:rPr>
        <w:t>Data analysis skills;</w:t>
      </w:r>
    </w:p>
    <w:p w14:paraId="6AC2C19B" w14:textId="57AE2F2F" w:rsidR="00255CAD" w:rsidRPr="00F6597C" w:rsidRDefault="00255CAD" w:rsidP="00E81486">
      <w:pPr>
        <w:pStyle w:val="ListParagraph"/>
        <w:numPr>
          <w:ilvl w:val="0"/>
          <w:numId w:val="22"/>
        </w:numPr>
        <w:jc w:val="both"/>
        <w:rPr>
          <w:rFonts w:asciiTheme="minorHAnsi" w:hAnsiTheme="minorHAnsi" w:cstheme="minorHAnsi"/>
        </w:rPr>
      </w:pPr>
      <w:r w:rsidRPr="00F6597C">
        <w:rPr>
          <w:rFonts w:asciiTheme="minorHAnsi" w:hAnsiTheme="minorHAnsi" w:cstheme="minorHAnsi"/>
        </w:rPr>
        <w:t>Excellent analytical thinking and research, writing, reporting and presentation skills;</w:t>
      </w:r>
    </w:p>
    <w:p w14:paraId="4C8A48C0" w14:textId="5D3F36F1" w:rsidR="00255CAD" w:rsidRPr="00F6597C" w:rsidRDefault="00255CAD" w:rsidP="00E81486">
      <w:pPr>
        <w:pStyle w:val="ListParagraph"/>
        <w:numPr>
          <w:ilvl w:val="0"/>
          <w:numId w:val="22"/>
        </w:numPr>
        <w:jc w:val="both"/>
        <w:rPr>
          <w:rFonts w:asciiTheme="minorHAnsi" w:hAnsiTheme="minorHAnsi" w:cstheme="minorHAnsi"/>
        </w:rPr>
      </w:pPr>
      <w:r w:rsidRPr="00F6597C">
        <w:rPr>
          <w:rFonts w:asciiTheme="minorHAnsi" w:hAnsiTheme="minorHAnsi" w:cstheme="minorHAnsi"/>
        </w:rPr>
        <w:t>Strong inter-personal, team working skills;</w:t>
      </w:r>
    </w:p>
    <w:p w14:paraId="0D000630" w14:textId="7E73BA03" w:rsidR="00255CAD" w:rsidRPr="00F6597C" w:rsidRDefault="00255CAD" w:rsidP="00E81486">
      <w:pPr>
        <w:pStyle w:val="ListParagraph"/>
        <w:numPr>
          <w:ilvl w:val="0"/>
          <w:numId w:val="22"/>
        </w:numPr>
        <w:jc w:val="both"/>
        <w:rPr>
          <w:rFonts w:asciiTheme="minorHAnsi" w:hAnsiTheme="minorHAnsi" w:cstheme="minorHAnsi"/>
        </w:rPr>
      </w:pPr>
      <w:r w:rsidRPr="00F6597C">
        <w:rPr>
          <w:rFonts w:asciiTheme="minorHAnsi" w:hAnsiTheme="minorHAnsi" w:cstheme="minorHAnsi"/>
        </w:rPr>
        <w:t>Ability to work and adapt to a dynamic working environment;</w:t>
      </w:r>
    </w:p>
    <w:p w14:paraId="56EAC883" w14:textId="77777777" w:rsidR="00A67C6B" w:rsidRPr="00F6597C" w:rsidRDefault="00A67C6B" w:rsidP="00F2227C">
      <w:pPr>
        <w:jc w:val="both"/>
        <w:rPr>
          <w:rFonts w:cstheme="minorHAnsi"/>
        </w:rPr>
      </w:pPr>
      <w:r w:rsidRPr="00F6597C">
        <w:rPr>
          <w:rFonts w:cstheme="minorHAnsi"/>
          <w:b/>
          <w:bCs/>
        </w:rPr>
        <w:t>Evaluation of applicants</w:t>
      </w:r>
      <w:r w:rsidRPr="00F6597C">
        <w:rPr>
          <w:rFonts w:cstheme="minorHAnsi"/>
        </w:rPr>
        <w:t>:</w:t>
      </w:r>
    </w:p>
    <w:p w14:paraId="081B295A" w14:textId="77777777" w:rsidR="00A67C6B" w:rsidRPr="00F6597C" w:rsidRDefault="00A67C6B" w:rsidP="00F2227C">
      <w:pPr>
        <w:spacing w:after="0"/>
        <w:jc w:val="both"/>
        <w:rPr>
          <w:rFonts w:cstheme="minorHAnsi"/>
        </w:rPr>
      </w:pPr>
      <w:r w:rsidRPr="00F6597C">
        <w:rPr>
          <w:rFonts w:cstheme="minorHAnsi"/>
        </w:rPr>
        <w:t>Candidates will be evaluated using a cumulative analysis method taking into consideration the combination</w:t>
      </w:r>
    </w:p>
    <w:p w14:paraId="150E1A6B" w14:textId="77777777" w:rsidR="00A67C6B" w:rsidRPr="00F6597C" w:rsidRDefault="00A67C6B" w:rsidP="00F2227C">
      <w:pPr>
        <w:spacing w:after="0"/>
        <w:jc w:val="both"/>
        <w:rPr>
          <w:rFonts w:cstheme="minorHAnsi"/>
        </w:rPr>
      </w:pPr>
      <w:r w:rsidRPr="00F6597C">
        <w:rPr>
          <w:rFonts w:cstheme="minorHAnsi"/>
        </w:rPr>
        <w:t>of the applicants’ qualifications and financial proposal. Contract will be awarded to the individual</w:t>
      </w:r>
    </w:p>
    <w:p w14:paraId="5918419A" w14:textId="3F901D9E" w:rsidR="00A67C6B" w:rsidRPr="00F6597C" w:rsidRDefault="00A67C6B" w:rsidP="00F2227C">
      <w:pPr>
        <w:spacing w:after="0"/>
        <w:jc w:val="both"/>
        <w:rPr>
          <w:rFonts w:cstheme="minorHAnsi"/>
        </w:rPr>
      </w:pPr>
      <w:r w:rsidRPr="00F6597C">
        <w:rPr>
          <w:rFonts w:cstheme="minorHAnsi"/>
        </w:rPr>
        <w:t>consultant whose offer has been evaluated and determined as:</w:t>
      </w:r>
    </w:p>
    <w:p w14:paraId="12999CC5" w14:textId="3E6DDC57" w:rsidR="00A67C6B" w:rsidRPr="00F6597C" w:rsidRDefault="00A67C6B" w:rsidP="00F2227C">
      <w:pPr>
        <w:pStyle w:val="ListParagraph"/>
        <w:numPr>
          <w:ilvl w:val="0"/>
          <w:numId w:val="10"/>
        </w:numPr>
        <w:jc w:val="both"/>
        <w:rPr>
          <w:rFonts w:asciiTheme="minorHAnsi" w:hAnsiTheme="minorHAnsi" w:cstheme="minorHAnsi"/>
        </w:rPr>
      </w:pPr>
      <w:r w:rsidRPr="00F6597C">
        <w:rPr>
          <w:rFonts w:asciiTheme="minorHAnsi" w:hAnsiTheme="minorHAnsi" w:cstheme="minorHAnsi"/>
        </w:rPr>
        <w:t>Responsive/compliant/acceptable; and</w:t>
      </w:r>
    </w:p>
    <w:p w14:paraId="2A1FF3A8" w14:textId="3BF26551" w:rsidR="00A67C6B" w:rsidRPr="00F6597C" w:rsidRDefault="00A67C6B" w:rsidP="00F2227C">
      <w:pPr>
        <w:pStyle w:val="ListParagraph"/>
        <w:numPr>
          <w:ilvl w:val="0"/>
          <w:numId w:val="10"/>
        </w:numPr>
        <w:jc w:val="both"/>
        <w:rPr>
          <w:rFonts w:asciiTheme="minorHAnsi" w:hAnsiTheme="minorHAnsi" w:cstheme="minorHAnsi"/>
        </w:rPr>
      </w:pPr>
      <w:r w:rsidRPr="00F6597C">
        <w:rPr>
          <w:rFonts w:asciiTheme="minorHAnsi" w:hAnsiTheme="minorHAnsi" w:cstheme="minorHAnsi"/>
        </w:rPr>
        <w:t>Having received the highest score out of below defined technical and financial criteria.</w:t>
      </w:r>
    </w:p>
    <w:p w14:paraId="1D0FD77F" w14:textId="77777777" w:rsidR="00265396" w:rsidRPr="00F6597C" w:rsidRDefault="00265396" w:rsidP="00F2227C">
      <w:pPr>
        <w:jc w:val="both"/>
        <w:rPr>
          <w:rFonts w:cstheme="minorHAnsi"/>
          <w:i/>
          <w:iCs/>
        </w:rPr>
      </w:pPr>
      <w:r w:rsidRPr="00F6597C">
        <w:rPr>
          <w:rFonts w:cstheme="minorHAnsi"/>
          <w:i/>
          <w:iCs/>
        </w:rPr>
        <w:t xml:space="preserve">Technical Evaluation for the </w:t>
      </w:r>
      <w:r w:rsidRPr="00F6597C">
        <w:rPr>
          <w:rFonts w:cstheme="minorHAnsi"/>
          <w:b/>
          <w:bCs/>
          <w:i/>
          <w:iCs/>
        </w:rPr>
        <w:t>national consultant</w:t>
      </w:r>
      <w:r w:rsidRPr="00F6597C">
        <w:rPr>
          <w:rFonts w:cstheme="minorHAnsi"/>
          <w:i/>
          <w:iCs/>
        </w:rPr>
        <w:t xml:space="preserve"> –70 points:</w:t>
      </w:r>
    </w:p>
    <w:p w14:paraId="5D1D6761" w14:textId="249AE96D" w:rsidR="00ED7F4C" w:rsidRPr="00F6597C" w:rsidRDefault="00265396" w:rsidP="00F2227C">
      <w:pPr>
        <w:pStyle w:val="ListParagraph"/>
        <w:numPr>
          <w:ilvl w:val="0"/>
          <w:numId w:val="12"/>
        </w:numPr>
        <w:jc w:val="both"/>
        <w:rPr>
          <w:rFonts w:asciiTheme="minorHAnsi" w:hAnsiTheme="minorHAnsi" w:cstheme="minorHAnsi"/>
        </w:rPr>
      </w:pPr>
      <w:r w:rsidRPr="00F6597C">
        <w:rPr>
          <w:rFonts w:asciiTheme="minorHAnsi" w:hAnsiTheme="minorHAnsi" w:cstheme="minorHAnsi"/>
        </w:rPr>
        <w:t xml:space="preserve">Minimum </w:t>
      </w:r>
      <w:r w:rsidR="00ED7F4C" w:rsidRPr="00F6597C">
        <w:rPr>
          <w:rFonts w:asciiTheme="minorHAnsi" w:hAnsiTheme="minorHAnsi" w:cstheme="minorHAnsi"/>
        </w:rPr>
        <w:t>7</w:t>
      </w:r>
      <w:r w:rsidRPr="00F6597C">
        <w:rPr>
          <w:rFonts w:asciiTheme="minorHAnsi" w:hAnsiTheme="minorHAnsi" w:cstheme="minorHAnsi"/>
        </w:rPr>
        <w:t xml:space="preserve"> years of </w:t>
      </w:r>
      <w:bookmarkStart w:id="0" w:name="_Hlk76981945"/>
      <w:r w:rsidRPr="00F6597C">
        <w:rPr>
          <w:rFonts w:asciiTheme="minorHAnsi" w:hAnsiTheme="minorHAnsi" w:cstheme="minorHAnsi"/>
        </w:rPr>
        <w:t>professional experience on relevant development GEEW related issues,</w:t>
      </w:r>
      <w:r w:rsidR="00C82809" w:rsidRPr="00F6597C">
        <w:rPr>
          <w:rFonts w:asciiTheme="minorHAnsi" w:hAnsiTheme="minorHAnsi" w:cstheme="minorHAnsi"/>
        </w:rPr>
        <w:t xml:space="preserve"> </w:t>
      </w:r>
      <w:r w:rsidR="00ED7F4C" w:rsidRPr="00F6597C">
        <w:rPr>
          <w:rFonts w:asciiTheme="minorHAnsi" w:hAnsiTheme="minorHAnsi" w:cstheme="minorHAnsi"/>
        </w:rPr>
        <w:t xml:space="preserve">gender analysis and human rights-based approaches </w:t>
      </w:r>
      <w:bookmarkEnd w:id="0"/>
      <w:r w:rsidR="00ED7F4C" w:rsidRPr="00F6597C">
        <w:rPr>
          <w:rFonts w:asciiTheme="minorHAnsi" w:hAnsiTheme="minorHAnsi" w:cstheme="minorHAnsi"/>
        </w:rPr>
        <w:t>(max 3</w:t>
      </w:r>
      <w:r w:rsidR="00B0063E" w:rsidRPr="00F6597C">
        <w:rPr>
          <w:rFonts w:asciiTheme="minorHAnsi" w:hAnsiTheme="minorHAnsi" w:cstheme="minorHAnsi"/>
        </w:rPr>
        <w:t>0</w:t>
      </w:r>
      <w:r w:rsidR="00ED7F4C" w:rsidRPr="00F6597C">
        <w:rPr>
          <w:rFonts w:asciiTheme="minorHAnsi" w:hAnsiTheme="minorHAnsi" w:cstheme="minorHAnsi"/>
        </w:rPr>
        <w:t xml:space="preserve"> points)</w:t>
      </w:r>
    </w:p>
    <w:p w14:paraId="503B50A0" w14:textId="06665EE3" w:rsidR="00265396" w:rsidRPr="00F6597C" w:rsidRDefault="00ED7F4C" w:rsidP="00F2227C">
      <w:pPr>
        <w:pStyle w:val="ListParagraph"/>
        <w:numPr>
          <w:ilvl w:val="0"/>
          <w:numId w:val="12"/>
        </w:numPr>
        <w:jc w:val="both"/>
        <w:rPr>
          <w:rFonts w:asciiTheme="minorHAnsi" w:hAnsiTheme="minorHAnsi" w:cstheme="minorHAnsi"/>
        </w:rPr>
      </w:pPr>
      <w:r w:rsidRPr="00F6597C">
        <w:rPr>
          <w:rFonts w:asciiTheme="minorHAnsi" w:hAnsiTheme="minorHAnsi" w:cstheme="minorHAnsi"/>
        </w:rPr>
        <w:t>Experience in monitoring and evaluation, i</w:t>
      </w:r>
      <w:r w:rsidR="00265396" w:rsidRPr="00F6597C">
        <w:rPr>
          <w:rFonts w:asciiTheme="minorHAnsi" w:hAnsiTheme="minorHAnsi" w:cstheme="minorHAnsi"/>
        </w:rPr>
        <w:t xml:space="preserve">ncluding substantive support to several evaluation processes (max </w:t>
      </w:r>
      <w:r w:rsidRPr="00F6597C">
        <w:rPr>
          <w:rFonts w:asciiTheme="minorHAnsi" w:hAnsiTheme="minorHAnsi" w:cstheme="minorHAnsi"/>
        </w:rPr>
        <w:t>2</w:t>
      </w:r>
      <w:r w:rsidR="00B0063E" w:rsidRPr="00F6597C">
        <w:rPr>
          <w:rFonts w:asciiTheme="minorHAnsi" w:hAnsiTheme="minorHAnsi" w:cstheme="minorHAnsi"/>
        </w:rPr>
        <w:t>0</w:t>
      </w:r>
      <w:r w:rsidR="00265396" w:rsidRPr="00F6597C">
        <w:rPr>
          <w:rFonts w:asciiTheme="minorHAnsi" w:hAnsiTheme="minorHAnsi" w:cstheme="minorHAnsi"/>
        </w:rPr>
        <w:t xml:space="preserve"> points)</w:t>
      </w:r>
    </w:p>
    <w:p w14:paraId="38573784" w14:textId="5D48431B" w:rsidR="00265396" w:rsidRPr="00F6597C" w:rsidRDefault="00265396" w:rsidP="00F2227C">
      <w:pPr>
        <w:pStyle w:val="ListParagraph"/>
        <w:numPr>
          <w:ilvl w:val="0"/>
          <w:numId w:val="12"/>
        </w:numPr>
        <w:jc w:val="both"/>
        <w:rPr>
          <w:rFonts w:asciiTheme="minorHAnsi" w:hAnsiTheme="minorHAnsi" w:cstheme="minorHAnsi"/>
        </w:rPr>
      </w:pPr>
      <w:r w:rsidRPr="00F6597C">
        <w:rPr>
          <w:rFonts w:asciiTheme="minorHAnsi" w:hAnsiTheme="minorHAnsi" w:cstheme="minorHAnsi"/>
        </w:rPr>
        <w:lastRenderedPageBreak/>
        <w:t xml:space="preserve">Previous experience in similar assignments with UN agencies and other international organisations (max </w:t>
      </w:r>
      <w:r w:rsidR="00B0063E" w:rsidRPr="00F6597C">
        <w:rPr>
          <w:rFonts w:asciiTheme="minorHAnsi" w:hAnsiTheme="minorHAnsi" w:cstheme="minorHAnsi"/>
        </w:rPr>
        <w:t>2</w:t>
      </w:r>
      <w:r w:rsidRPr="00F6597C">
        <w:rPr>
          <w:rFonts w:asciiTheme="minorHAnsi" w:hAnsiTheme="minorHAnsi" w:cstheme="minorHAnsi"/>
        </w:rPr>
        <w:t>0 points)</w:t>
      </w:r>
    </w:p>
    <w:p w14:paraId="5F26C6F9" w14:textId="77777777" w:rsidR="00C82809" w:rsidRPr="00F6597C" w:rsidRDefault="00C82809" w:rsidP="00F2227C">
      <w:pPr>
        <w:jc w:val="both"/>
        <w:rPr>
          <w:rFonts w:cstheme="minorHAnsi"/>
          <w:i/>
          <w:iCs/>
        </w:rPr>
      </w:pPr>
      <w:r w:rsidRPr="00F6597C">
        <w:rPr>
          <w:rFonts w:cstheme="minorHAnsi"/>
          <w:i/>
          <w:iCs/>
        </w:rPr>
        <w:t>Financial Evaluation – 30 points</w:t>
      </w:r>
    </w:p>
    <w:p w14:paraId="7DC29210" w14:textId="34911844" w:rsidR="00C82809" w:rsidRPr="00F6597C" w:rsidRDefault="00C82809" w:rsidP="00F2227C">
      <w:pPr>
        <w:spacing w:after="0"/>
        <w:jc w:val="both"/>
        <w:rPr>
          <w:rFonts w:cstheme="minorHAnsi"/>
        </w:rPr>
      </w:pPr>
      <w:r w:rsidRPr="00F6597C">
        <w:rPr>
          <w:rFonts w:cstheme="minorHAnsi"/>
        </w:rPr>
        <w:t>Only candidates obtaining a minimum of 70% (49 points) in the technical evaluation would be considered</w:t>
      </w:r>
      <w:r w:rsidR="00D6034F" w:rsidRPr="00F6597C">
        <w:rPr>
          <w:rFonts w:cstheme="minorHAnsi"/>
        </w:rPr>
        <w:t xml:space="preserve"> </w:t>
      </w:r>
      <w:r w:rsidRPr="00F6597C">
        <w:rPr>
          <w:rFonts w:cstheme="minorHAnsi"/>
        </w:rPr>
        <w:t>for financial evaluation.</w:t>
      </w:r>
    </w:p>
    <w:p w14:paraId="718DF6CD" w14:textId="6FE6F123" w:rsidR="0071162C" w:rsidRDefault="00C82809" w:rsidP="00A66D7B">
      <w:pPr>
        <w:spacing w:after="0"/>
        <w:jc w:val="both"/>
        <w:rPr>
          <w:rFonts w:cstheme="minorHAnsi"/>
        </w:rPr>
      </w:pPr>
      <w:r w:rsidRPr="00F6597C">
        <w:rPr>
          <w:rFonts w:cstheme="minorHAnsi"/>
        </w:rPr>
        <w:t>The maximum number of points assigned to the financial proposal is allocated to the lowest price proposal.</w:t>
      </w:r>
      <w:r w:rsidR="00D6034F" w:rsidRPr="00F6597C">
        <w:rPr>
          <w:rFonts w:cstheme="minorHAnsi"/>
        </w:rPr>
        <w:t xml:space="preserve"> </w:t>
      </w:r>
      <w:r w:rsidRPr="00F6597C">
        <w:rPr>
          <w:rFonts w:cstheme="minorHAnsi"/>
        </w:rPr>
        <w:t>All other price proposals receive points in inverse proportion. The calculation formula applied is as follow:</w:t>
      </w:r>
      <w:r w:rsidR="00D6034F" w:rsidRPr="00F6597C">
        <w:rPr>
          <w:rFonts w:cstheme="minorHAnsi"/>
        </w:rPr>
        <w:t xml:space="preserve"> </w:t>
      </w:r>
      <w:r w:rsidRPr="00F6597C">
        <w:rPr>
          <w:rFonts w:cstheme="minorHAnsi"/>
        </w:rPr>
        <w:t>p = 30 (μ/z); where: p = points for the financial proposal being evaluated; μ = price of the lowest priced</w:t>
      </w:r>
      <w:r w:rsidR="00D6034F" w:rsidRPr="00F6597C">
        <w:rPr>
          <w:rFonts w:cstheme="minorHAnsi"/>
        </w:rPr>
        <w:t xml:space="preserve"> </w:t>
      </w:r>
      <w:r w:rsidRPr="00F6597C">
        <w:rPr>
          <w:rFonts w:cstheme="minorHAnsi"/>
        </w:rPr>
        <w:t>proposal; z = price of the proposal being evaluated.</w:t>
      </w:r>
    </w:p>
    <w:p w14:paraId="09BDCB3F" w14:textId="77777777" w:rsidR="00A66D7B" w:rsidRPr="00A66D7B" w:rsidRDefault="00A66D7B" w:rsidP="00A66D7B">
      <w:pPr>
        <w:spacing w:after="0"/>
        <w:jc w:val="both"/>
        <w:rPr>
          <w:rFonts w:cstheme="minorHAnsi"/>
        </w:rPr>
      </w:pPr>
    </w:p>
    <w:p w14:paraId="1DD5FC02" w14:textId="3A4B306F" w:rsidR="00C27A9B" w:rsidRPr="00F6597C" w:rsidRDefault="00C27A9B" w:rsidP="00F2227C">
      <w:pPr>
        <w:jc w:val="both"/>
        <w:rPr>
          <w:rFonts w:cstheme="minorHAnsi"/>
          <w:b/>
          <w:bCs/>
        </w:rPr>
      </w:pPr>
      <w:r w:rsidRPr="00F6597C">
        <w:rPr>
          <w:rFonts w:cstheme="minorHAnsi"/>
          <w:b/>
          <w:bCs/>
        </w:rPr>
        <w:t>Application process</w:t>
      </w:r>
    </w:p>
    <w:p w14:paraId="3531A202" w14:textId="3896EE3B" w:rsidR="00C27A9B" w:rsidRPr="00F6597C" w:rsidRDefault="00C27A9B" w:rsidP="00B30BE1">
      <w:pPr>
        <w:rPr>
          <w:rFonts w:cstheme="minorHAnsi"/>
        </w:rPr>
      </w:pPr>
      <w:r w:rsidRPr="00F6597C">
        <w:rPr>
          <w:rFonts w:cstheme="minorHAnsi"/>
        </w:rPr>
        <w:t xml:space="preserve">Qualified and interested candidates can view the vacancy and apply online at </w:t>
      </w:r>
      <w:hyperlink r:id="rId19" w:tgtFrame="_blank" w:tooltip="https://sc.undp.md/current_jobs3/" w:history="1">
        <w:r w:rsidR="00B30BE1" w:rsidRPr="00F6597C">
          <w:rPr>
            <w:rStyle w:val="Hyperlink"/>
            <w:rFonts w:cstheme="minorHAnsi"/>
          </w:rPr>
          <w:t>https://sc.undp.md/current_jobs3/</w:t>
        </w:r>
      </w:hyperlink>
      <w:r w:rsidR="00B30BE1" w:rsidRPr="00F6597C">
        <w:rPr>
          <w:rFonts w:cstheme="minorHAnsi"/>
        </w:rPr>
        <w:t xml:space="preserve">. </w:t>
      </w:r>
      <w:r w:rsidRPr="00F6597C">
        <w:rPr>
          <w:rFonts w:cstheme="minorHAnsi"/>
        </w:rPr>
        <w:t xml:space="preserve"> The system will only accept one document. The interested candidates must submit the following documents/ information to demonstrate their qualification:</w:t>
      </w:r>
    </w:p>
    <w:p w14:paraId="4C20F2EE" w14:textId="5C731344" w:rsidR="00C27A9B" w:rsidRPr="00F6597C" w:rsidRDefault="00C27A9B" w:rsidP="00840D1F">
      <w:pPr>
        <w:ind w:left="284"/>
        <w:jc w:val="both"/>
        <w:rPr>
          <w:rFonts w:cstheme="minorHAnsi"/>
        </w:rPr>
      </w:pPr>
      <w:r w:rsidRPr="00F6597C">
        <w:rPr>
          <w:rFonts w:cstheme="minorHAnsi"/>
        </w:rPr>
        <w:t xml:space="preserve">• Letter of Intent with justification of being the most suitable for the work, vision and working approach, specifically indicating experience of carrying out evaluations and in producing out analytical reports, </w:t>
      </w:r>
      <w:r w:rsidR="004153BC" w:rsidRPr="00F6597C">
        <w:rPr>
          <w:rFonts w:cstheme="minorHAnsi"/>
        </w:rPr>
        <w:t xml:space="preserve">(provide links </w:t>
      </w:r>
      <w:r w:rsidR="001462BE" w:rsidRPr="00F6597C">
        <w:rPr>
          <w:rFonts w:cstheme="minorHAnsi"/>
        </w:rPr>
        <w:t xml:space="preserve">to previous evaluations and analytical reports) </w:t>
      </w:r>
      <w:r w:rsidRPr="00F6597C">
        <w:rPr>
          <w:rFonts w:cstheme="minorHAnsi"/>
        </w:rPr>
        <w:t>etc.;</w:t>
      </w:r>
    </w:p>
    <w:p w14:paraId="5448C39F" w14:textId="2B6393FF" w:rsidR="00C27A9B" w:rsidRPr="00F6597C" w:rsidRDefault="00C27A9B">
      <w:pPr>
        <w:ind w:left="284"/>
        <w:jc w:val="both"/>
        <w:rPr>
          <w:rFonts w:cstheme="minorHAnsi"/>
        </w:rPr>
      </w:pPr>
      <w:r w:rsidRPr="00F6597C">
        <w:rPr>
          <w:rFonts w:cstheme="minorHAnsi"/>
        </w:rPr>
        <w:t>• Duly filled Personal History Form (P11) and/or CV, including records on past experience in similar projects/assignments and specific outputs obtained.</w:t>
      </w:r>
      <w:r w:rsidR="00E5343B" w:rsidRPr="00F6597C">
        <w:rPr>
          <w:rFonts w:cstheme="minorHAnsi"/>
        </w:rPr>
        <w:t xml:space="preserve"> (</w:t>
      </w:r>
      <w:r w:rsidR="00313F3C" w:rsidRPr="00F6597C">
        <w:rPr>
          <w:rFonts w:cstheme="minorHAnsi"/>
        </w:rPr>
        <w:t>Blank</w:t>
      </w:r>
      <w:r w:rsidR="00E5343B" w:rsidRPr="00F6597C">
        <w:rPr>
          <w:rFonts w:cstheme="minorHAnsi"/>
        </w:rPr>
        <w:t xml:space="preserve"> form can be</w:t>
      </w:r>
      <w:r w:rsidR="00713F9C" w:rsidRPr="00F6597C">
        <w:rPr>
          <w:rFonts w:cstheme="minorHAnsi"/>
        </w:rPr>
        <w:t xml:space="preserve"> </w:t>
      </w:r>
      <w:r w:rsidR="00E5343B" w:rsidRPr="00F6597C">
        <w:rPr>
          <w:rFonts w:cstheme="minorHAnsi"/>
        </w:rPr>
        <w:t>downloaded from: (</w:t>
      </w:r>
      <w:hyperlink r:id="rId20" w:history="1">
        <w:r w:rsidR="00713F9C" w:rsidRPr="00F6597C">
          <w:rPr>
            <w:rStyle w:val="Hyperlink"/>
            <w:rFonts w:cstheme="minorHAnsi"/>
          </w:rPr>
          <w:t>https://www.unwomen.org/en/about-us/employment</w:t>
        </w:r>
      </w:hyperlink>
      <w:r w:rsidR="00713F9C" w:rsidRPr="00F6597C">
        <w:rPr>
          <w:rFonts w:cstheme="minorHAnsi"/>
        </w:rPr>
        <w:t xml:space="preserve"> </w:t>
      </w:r>
      <w:r w:rsidR="00E5343B" w:rsidRPr="00F6597C">
        <w:rPr>
          <w:rFonts w:cstheme="minorHAnsi"/>
        </w:rPr>
        <w:t>).</w:t>
      </w:r>
    </w:p>
    <w:p w14:paraId="13F65863" w14:textId="67190021" w:rsidR="003F264E" w:rsidRPr="003F264E" w:rsidRDefault="00C27A9B" w:rsidP="003F264E">
      <w:pPr>
        <w:spacing w:after="0"/>
        <w:ind w:left="284"/>
        <w:jc w:val="both"/>
        <w:rPr>
          <w:rFonts w:cstheme="minorHAnsi"/>
        </w:rPr>
      </w:pPr>
      <w:r w:rsidRPr="00F6597C">
        <w:rPr>
          <w:rFonts w:cstheme="minorHAnsi"/>
        </w:rPr>
        <w:t xml:space="preserve">• Financial proposal (in </w:t>
      </w:r>
      <w:r w:rsidR="00C71056" w:rsidRPr="00F6597C">
        <w:rPr>
          <w:rFonts w:cstheme="minorHAnsi"/>
        </w:rPr>
        <w:t>MDL for the national consultant)</w:t>
      </w:r>
      <w:r w:rsidRPr="00F6597C">
        <w:rPr>
          <w:rFonts w:cstheme="minorHAnsi"/>
        </w:rPr>
        <w:t xml:space="preserve"> - specifying an all-inclusive daily fee, and the lump sum for the envisaged number of working days. </w:t>
      </w:r>
      <w:r w:rsidR="003F264E" w:rsidRPr="003F264E">
        <w:rPr>
          <w:rFonts w:cstheme="minorHAnsi"/>
        </w:rPr>
        <w:t xml:space="preserve"> The financial offer should include all costs related to completion of the task under the current Terms of Reference</w:t>
      </w:r>
      <w:r w:rsidR="00711F01">
        <w:rPr>
          <w:rFonts w:cstheme="minorHAnsi"/>
        </w:rPr>
        <w:t xml:space="preserve">. </w:t>
      </w:r>
      <w:r w:rsidR="00711F01" w:rsidRPr="00711F01">
        <w:rPr>
          <w:rFonts w:cstheme="minorHAnsi"/>
        </w:rPr>
        <w:t xml:space="preserve">Current assignment may imply the need of travel mission to Moldova. If world situation improves and travel mission to Moldova will be confirmed all the travel costs will be covered by UN Women CO and evaluation team will be provided with the necessary administrative and logistical support to enable them deliver on the expected outputs.  </w:t>
      </w:r>
    </w:p>
    <w:p w14:paraId="0D7F6CA8" w14:textId="77777777" w:rsidR="00B0063E" w:rsidRPr="00F6597C" w:rsidRDefault="00B0063E" w:rsidP="00A66D7B">
      <w:pPr>
        <w:spacing w:after="0"/>
        <w:jc w:val="both"/>
        <w:rPr>
          <w:rFonts w:cstheme="minorHAnsi"/>
        </w:rPr>
      </w:pPr>
    </w:p>
    <w:tbl>
      <w:tblPr>
        <w:tblStyle w:val="TableGrid"/>
        <w:tblW w:w="0" w:type="auto"/>
        <w:tblLook w:val="04A0" w:firstRow="1" w:lastRow="0" w:firstColumn="1" w:lastColumn="0" w:noHBand="0" w:noVBand="1"/>
      </w:tblPr>
      <w:tblGrid>
        <w:gridCol w:w="1870"/>
        <w:gridCol w:w="1870"/>
        <w:gridCol w:w="1870"/>
        <w:gridCol w:w="1870"/>
        <w:gridCol w:w="1870"/>
      </w:tblGrid>
      <w:tr w:rsidR="00947BD9" w:rsidRPr="00F6597C" w14:paraId="5893D6AA" w14:textId="77777777" w:rsidTr="67659DF1">
        <w:trPr>
          <w:trHeight w:hRule="exact" w:val="821"/>
        </w:trPr>
        <w:tc>
          <w:tcPr>
            <w:tcW w:w="1870" w:type="dxa"/>
          </w:tcPr>
          <w:p w14:paraId="09A31FFE" w14:textId="77777777" w:rsidR="00947BD9" w:rsidRPr="00F6597C" w:rsidRDefault="00947BD9" w:rsidP="00F2227C">
            <w:pPr>
              <w:jc w:val="both"/>
              <w:rPr>
                <w:rFonts w:cstheme="minorHAnsi"/>
              </w:rPr>
            </w:pPr>
            <w:r w:rsidRPr="00F6597C">
              <w:rPr>
                <w:rFonts w:cstheme="minorHAnsi"/>
              </w:rPr>
              <w:t>Description of Activity</w:t>
            </w:r>
          </w:p>
          <w:p w14:paraId="3A20CC64" w14:textId="77777777" w:rsidR="00947BD9" w:rsidRPr="00F6597C" w:rsidRDefault="00947BD9" w:rsidP="00F2227C">
            <w:pPr>
              <w:jc w:val="both"/>
              <w:rPr>
                <w:rFonts w:cstheme="minorHAnsi"/>
              </w:rPr>
            </w:pPr>
          </w:p>
        </w:tc>
        <w:tc>
          <w:tcPr>
            <w:tcW w:w="1870" w:type="dxa"/>
          </w:tcPr>
          <w:p w14:paraId="2410EC59" w14:textId="77777777" w:rsidR="00947BD9" w:rsidRPr="00F6597C" w:rsidRDefault="00947BD9" w:rsidP="00F2227C">
            <w:pPr>
              <w:jc w:val="both"/>
              <w:rPr>
                <w:rFonts w:cstheme="minorHAnsi"/>
              </w:rPr>
            </w:pPr>
            <w:r w:rsidRPr="00F6597C">
              <w:rPr>
                <w:rFonts w:cstheme="minorHAnsi"/>
              </w:rPr>
              <w:t>Unit of measure (e.g. day, month, etc.)</w:t>
            </w:r>
          </w:p>
          <w:p w14:paraId="174DEDAD" w14:textId="77777777" w:rsidR="00947BD9" w:rsidRPr="00F6597C" w:rsidRDefault="00947BD9" w:rsidP="00F2227C">
            <w:pPr>
              <w:jc w:val="both"/>
              <w:rPr>
                <w:rFonts w:cstheme="minorHAnsi"/>
              </w:rPr>
            </w:pPr>
          </w:p>
        </w:tc>
        <w:tc>
          <w:tcPr>
            <w:tcW w:w="1870" w:type="dxa"/>
          </w:tcPr>
          <w:p w14:paraId="1CB5DF53" w14:textId="77777777" w:rsidR="00947BD9" w:rsidRPr="00F6597C" w:rsidRDefault="00947BD9" w:rsidP="00F2227C">
            <w:pPr>
              <w:jc w:val="both"/>
              <w:rPr>
                <w:rFonts w:cstheme="minorHAnsi"/>
              </w:rPr>
            </w:pPr>
            <w:r w:rsidRPr="00F6597C">
              <w:rPr>
                <w:rFonts w:cstheme="minorHAnsi"/>
              </w:rPr>
              <w:t>Unit price</w:t>
            </w:r>
          </w:p>
          <w:p w14:paraId="23A3B50E" w14:textId="77777777" w:rsidR="00947BD9" w:rsidRPr="00F6597C" w:rsidRDefault="00947BD9" w:rsidP="00F2227C">
            <w:pPr>
              <w:jc w:val="both"/>
              <w:rPr>
                <w:rFonts w:cstheme="minorHAnsi"/>
              </w:rPr>
            </w:pPr>
          </w:p>
        </w:tc>
        <w:tc>
          <w:tcPr>
            <w:tcW w:w="1870" w:type="dxa"/>
          </w:tcPr>
          <w:p w14:paraId="3D9C0A28" w14:textId="77777777" w:rsidR="00947BD9" w:rsidRPr="00F6597C" w:rsidRDefault="00947BD9" w:rsidP="00F2227C">
            <w:pPr>
              <w:jc w:val="both"/>
              <w:rPr>
                <w:rFonts w:cstheme="minorHAnsi"/>
              </w:rPr>
            </w:pPr>
            <w:r w:rsidRPr="00F6597C">
              <w:rPr>
                <w:rFonts w:cstheme="minorHAnsi"/>
              </w:rPr>
              <w:t>No. of units</w:t>
            </w:r>
          </w:p>
          <w:p w14:paraId="5A659E32" w14:textId="77777777" w:rsidR="00947BD9" w:rsidRPr="00F6597C" w:rsidRDefault="00947BD9" w:rsidP="00F2227C">
            <w:pPr>
              <w:jc w:val="both"/>
              <w:rPr>
                <w:rFonts w:cstheme="minorHAnsi"/>
              </w:rPr>
            </w:pPr>
          </w:p>
        </w:tc>
        <w:tc>
          <w:tcPr>
            <w:tcW w:w="1870" w:type="dxa"/>
          </w:tcPr>
          <w:p w14:paraId="352D54E8" w14:textId="77777777" w:rsidR="00947BD9" w:rsidRPr="00F6597C" w:rsidRDefault="00947BD9" w:rsidP="00F2227C">
            <w:pPr>
              <w:jc w:val="both"/>
              <w:rPr>
                <w:rFonts w:cstheme="minorHAnsi"/>
              </w:rPr>
            </w:pPr>
            <w:r w:rsidRPr="00F6597C">
              <w:rPr>
                <w:rFonts w:cstheme="minorHAnsi"/>
              </w:rPr>
              <w:t>Total Price</w:t>
            </w:r>
          </w:p>
          <w:p w14:paraId="0772C247" w14:textId="77777777" w:rsidR="00947BD9" w:rsidRPr="00F6597C" w:rsidRDefault="00947BD9" w:rsidP="00F2227C">
            <w:pPr>
              <w:jc w:val="both"/>
              <w:rPr>
                <w:rFonts w:cstheme="minorHAnsi"/>
              </w:rPr>
            </w:pPr>
          </w:p>
        </w:tc>
      </w:tr>
      <w:tr w:rsidR="00947BD9" w:rsidRPr="00F6597C" w14:paraId="426C0B67" w14:textId="77777777" w:rsidTr="67659DF1">
        <w:tc>
          <w:tcPr>
            <w:tcW w:w="1870" w:type="dxa"/>
          </w:tcPr>
          <w:p w14:paraId="3A9F0C6D" w14:textId="77777777" w:rsidR="00947BD9" w:rsidRPr="00F6597C" w:rsidRDefault="00947BD9" w:rsidP="00F2227C">
            <w:pPr>
              <w:jc w:val="both"/>
              <w:rPr>
                <w:rFonts w:cstheme="minorHAnsi"/>
              </w:rPr>
            </w:pPr>
          </w:p>
        </w:tc>
        <w:tc>
          <w:tcPr>
            <w:tcW w:w="1870" w:type="dxa"/>
          </w:tcPr>
          <w:p w14:paraId="02AC952E" w14:textId="77777777" w:rsidR="00947BD9" w:rsidRPr="00F6597C" w:rsidRDefault="00947BD9" w:rsidP="00F2227C">
            <w:pPr>
              <w:jc w:val="both"/>
              <w:rPr>
                <w:rFonts w:cstheme="minorHAnsi"/>
              </w:rPr>
            </w:pPr>
          </w:p>
        </w:tc>
        <w:tc>
          <w:tcPr>
            <w:tcW w:w="1870" w:type="dxa"/>
          </w:tcPr>
          <w:p w14:paraId="31E3C88C" w14:textId="77777777" w:rsidR="00947BD9" w:rsidRPr="00F6597C" w:rsidRDefault="00947BD9" w:rsidP="00F2227C">
            <w:pPr>
              <w:jc w:val="both"/>
              <w:rPr>
                <w:rFonts w:cstheme="minorHAnsi"/>
              </w:rPr>
            </w:pPr>
          </w:p>
        </w:tc>
        <w:tc>
          <w:tcPr>
            <w:tcW w:w="1870" w:type="dxa"/>
          </w:tcPr>
          <w:p w14:paraId="0A917D9A" w14:textId="77777777" w:rsidR="00947BD9" w:rsidRPr="00F6597C" w:rsidRDefault="00947BD9" w:rsidP="00F2227C">
            <w:pPr>
              <w:jc w:val="both"/>
              <w:rPr>
                <w:rFonts w:cstheme="minorHAnsi"/>
              </w:rPr>
            </w:pPr>
          </w:p>
        </w:tc>
        <w:tc>
          <w:tcPr>
            <w:tcW w:w="1870" w:type="dxa"/>
          </w:tcPr>
          <w:p w14:paraId="0A8C4627" w14:textId="77777777" w:rsidR="00947BD9" w:rsidRPr="00F6597C" w:rsidRDefault="00947BD9" w:rsidP="00F2227C">
            <w:pPr>
              <w:jc w:val="both"/>
              <w:rPr>
                <w:rFonts w:cstheme="minorHAnsi"/>
              </w:rPr>
            </w:pPr>
          </w:p>
        </w:tc>
      </w:tr>
    </w:tbl>
    <w:p w14:paraId="1D23578C" w14:textId="05CB1A68" w:rsidR="67659DF1" w:rsidRDefault="67659DF1"/>
    <w:p w14:paraId="76FE8778" w14:textId="36ED5F4B" w:rsidR="00E34299" w:rsidRPr="00F6597C" w:rsidRDefault="00E34299" w:rsidP="00F2227C">
      <w:pPr>
        <w:jc w:val="both"/>
        <w:rPr>
          <w:rFonts w:cstheme="minorHAnsi"/>
        </w:rPr>
      </w:pPr>
    </w:p>
    <w:p w14:paraId="1BA78183" w14:textId="77777777" w:rsidR="00BE4D8C" w:rsidRPr="00F6597C" w:rsidRDefault="00BE4D8C" w:rsidP="00F2227C">
      <w:pPr>
        <w:spacing w:after="0"/>
        <w:jc w:val="both"/>
        <w:rPr>
          <w:rFonts w:cstheme="minorHAnsi"/>
        </w:rPr>
      </w:pPr>
      <w:r w:rsidRPr="00F6597C">
        <w:rPr>
          <w:rFonts w:cstheme="minorHAnsi"/>
        </w:rPr>
        <w:t>Please, merge your completed UN Women Personal History form, financial proposal and cover letter,</w:t>
      </w:r>
    </w:p>
    <w:p w14:paraId="2BB0EA65" w14:textId="5D9D4CA5" w:rsidR="00BE4D8C" w:rsidRPr="00F6597C" w:rsidRDefault="00BE4D8C" w:rsidP="00F2227C">
      <w:pPr>
        <w:spacing w:after="0"/>
        <w:jc w:val="both"/>
        <w:rPr>
          <w:rFonts w:cstheme="minorHAnsi"/>
        </w:rPr>
      </w:pPr>
      <w:r w:rsidRPr="00F6597C">
        <w:rPr>
          <w:rFonts w:cstheme="minorHAnsi"/>
        </w:rPr>
        <w:t>if applicable, into a single file and upload when you click ‘Submit Application’.</w:t>
      </w:r>
    </w:p>
    <w:p w14:paraId="29734CAC" w14:textId="43620F18" w:rsidR="00D6034F" w:rsidRPr="00F6597C" w:rsidRDefault="00C27A9B" w:rsidP="00A66D7B">
      <w:pPr>
        <w:jc w:val="both"/>
        <w:rPr>
          <w:rFonts w:cstheme="minorHAnsi"/>
        </w:rPr>
      </w:pPr>
      <w:r w:rsidRPr="00F6597C">
        <w:rPr>
          <w:rFonts w:cstheme="minorHAnsi"/>
        </w:rPr>
        <w:t>Payment will be done as follows: 30 % of total payment upon approval of inception report; 30 % upon delivery of draft evaluation report; and 40% upon approval of final evaluation report.</w:t>
      </w:r>
    </w:p>
    <w:sectPr w:rsidR="00D6034F" w:rsidRPr="00F6597C" w:rsidSect="0071162C">
      <w:headerReference w:type="default" r:id="rId21"/>
      <w:footerReference w:type="default" r:id="rId22"/>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28002" w14:textId="77777777" w:rsidR="0087718B" w:rsidRDefault="0087718B" w:rsidP="00EA633B">
      <w:pPr>
        <w:spacing w:after="0" w:line="240" w:lineRule="auto"/>
      </w:pPr>
      <w:r>
        <w:separator/>
      </w:r>
    </w:p>
  </w:endnote>
  <w:endnote w:type="continuationSeparator" w:id="0">
    <w:p w14:paraId="68119C36" w14:textId="77777777" w:rsidR="0087718B" w:rsidRDefault="0087718B" w:rsidP="00EA633B">
      <w:pPr>
        <w:spacing w:after="0" w:line="240" w:lineRule="auto"/>
      </w:pPr>
      <w:r>
        <w:continuationSeparator/>
      </w:r>
    </w:p>
  </w:endnote>
  <w:endnote w:type="continuationNotice" w:id="1">
    <w:p w14:paraId="2D02C3AE" w14:textId="77777777" w:rsidR="0087718B" w:rsidRDefault="008771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605862"/>
      <w:docPartObj>
        <w:docPartGallery w:val="Page Numbers (Bottom of Page)"/>
        <w:docPartUnique/>
      </w:docPartObj>
    </w:sdtPr>
    <w:sdtEndPr>
      <w:rPr>
        <w:noProof/>
      </w:rPr>
    </w:sdtEndPr>
    <w:sdtContent>
      <w:p w14:paraId="183C8B5F" w14:textId="65B42E04" w:rsidR="00B21912" w:rsidRDefault="00B219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778E02" w14:textId="77777777" w:rsidR="00B21912" w:rsidRDefault="00B21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74006" w14:textId="77777777" w:rsidR="0087718B" w:rsidRDefault="0087718B" w:rsidP="00EA633B">
      <w:pPr>
        <w:spacing w:after="0" w:line="240" w:lineRule="auto"/>
      </w:pPr>
      <w:r>
        <w:separator/>
      </w:r>
    </w:p>
  </w:footnote>
  <w:footnote w:type="continuationSeparator" w:id="0">
    <w:p w14:paraId="36B40386" w14:textId="77777777" w:rsidR="0087718B" w:rsidRDefault="0087718B" w:rsidP="00EA633B">
      <w:pPr>
        <w:spacing w:after="0" w:line="240" w:lineRule="auto"/>
      </w:pPr>
      <w:r>
        <w:continuationSeparator/>
      </w:r>
    </w:p>
  </w:footnote>
  <w:footnote w:type="continuationNotice" w:id="1">
    <w:p w14:paraId="6C77B956" w14:textId="77777777" w:rsidR="0087718B" w:rsidRDefault="008771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F96EE" w14:textId="21A54492" w:rsidR="0071162C" w:rsidRDefault="0071162C">
    <w:pPr>
      <w:pStyle w:val="Header"/>
    </w:pPr>
    <w:r>
      <w:rPr>
        <w:noProof/>
      </w:rPr>
      <w:drawing>
        <wp:anchor distT="0" distB="0" distL="114300" distR="114300" simplePos="0" relativeHeight="251659264" behindDoc="1" locked="0" layoutInCell="0" allowOverlap="1" wp14:anchorId="5C444704" wp14:editId="4C48DD62">
          <wp:simplePos x="0" y="0"/>
          <wp:positionH relativeFrom="page">
            <wp:posOffset>5556250</wp:posOffset>
          </wp:positionH>
          <wp:positionV relativeFrom="page">
            <wp:posOffset>165100</wp:posOffset>
          </wp:positionV>
          <wp:extent cx="1795145" cy="8655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95145" cy="8655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FAA"/>
    <w:multiLevelType w:val="hybridMultilevel"/>
    <w:tmpl w:val="1CF0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A4CAE"/>
    <w:multiLevelType w:val="hybridMultilevel"/>
    <w:tmpl w:val="00AC40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FFF4A19"/>
    <w:multiLevelType w:val="hybridMultilevel"/>
    <w:tmpl w:val="239A1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92169"/>
    <w:multiLevelType w:val="hybridMultilevel"/>
    <w:tmpl w:val="B28C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85883"/>
    <w:multiLevelType w:val="hybridMultilevel"/>
    <w:tmpl w:val="DF566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34B81"/>
    <w:multiLevelType w:val="hybridMultilevel"/>
    <w:tmpl w:val="4D3434C0"/>
    <w:lvl w:ilvl="0" w:tplc="ADBA6500">
      <w:start w:val="1"/>
      <w:numFmt w:val="decimal"/>
      <w:lvlText w:val="%1."/>
      <w:lvlJc w:val="left"/>
      <w:pPr>
        <w:ind w:left="258" w:hanging="360"/>
      </w:pPr>
      <w:rPr>
        <w:rFonts w:hint="default"/>
      </w:rPr>
    </w:lvl>
    <w:lvl w:ilvl="1" w:tplc="04090019" w:tentative="1">
      <w:start w:val="1"/>
      <w:numFmt w:val="lowerLetter"/>
      <w:lvlText w:val="%2."/>
      <w:lvlJc w:val="left"/>
      <w:pPr>
        <w:ind w:left="978" w:hanging="360"/>
      </w:pPr>
    </w:lvl>
    <w:lvl w:ilvl="2" w:tplc="0409001B" w:tentative="1">
      <w:start w:val="1"/>
      <w:numFmt w:val="lowerRoman"/>
      <w:lvlText w:val="%3."/>
      <w:lvlJc w:val="right"/>
      <w:pPr>
        <w:ind w:left="1698" w:hanging="180"/>
      </w:pPr>
    </w:lvl>
    <w:lvl w:ilvl="3" w:tplc="0409000F" w:tentative="1">
      <w:start w:val="1"/>
      <w:numFmt w:val="decimal"/>
      <w:lvlText w:val="%4."/>
      <w:lvlJc w:val="left"/>
      <w:pPr>
        <w:ind w:left="2418" w:hanging="360"/>
      </w:pPr>
    </w:lvl>
    <w:lvl w:ilvl="4" w:tplc="04090019" w:tentative="1">
      <w:start w:val="1"/>
      <w:numFmt w:val="lowerLetter"/>
      <w:lvlText w:val="%5."/>
      <w:lvlJc w:val="left"/>
      <w:pPr>
        <w:ind w:left="3138" w:hanging="360"/>
      </w:pPr>
    </w:lvl>
    <w:lvl w:ilvl="5" w:tplc="0409001B" w:tentative="1">
      <w:start w:val="1"/>
      <w:numFmt w:val="lowerRoman"/>
      <w:lvlText w:val="%6."/>
      <w:lvlJc w:val="right"/>
      <w:pPr>
        <w:ind w:left="3858" w:hanging="180"/>
      </w:pPr>
    </w:lvl>
    <w:lvl w:ilvl="6" w:tplc="0409000F" w:tentative="1">
      <w:start w:val="1"/>
      <w:numFmt w:val="decimal"/>
      <w:lvlText w:val="%7."/>
      <w:lvlJc w:val="left"/>
      <w:pPr>
        <w:ind w:left="4578" w:hanging="360"/>
      </w:pPr>
    </w:lvl>
    <w:lvl w:ilvl="7" w:tplc="04090019" w:tentative="1">
      <w:start w:val="1"/>
      <w:numFmt w:val="lowerLetter"/>
      <w:lvlText w:val="%8."/>
      <w:lvlJc w:val="left"/>
      <w:pPr>
        <w:ind w:left="5298" w:hanging="360"/>
      </w:pPr>
    </w:lvl>
    <w:lvl w:ilvl="8" w:tplc="0409001B" w:tentative="1">
      <w:start w:val="1"/>
      <w:numFmt w:val="lowerRoman"/>
      <w:lvlText w:val="%9."/>
      <w:lvlJc w:val="right"/>
      <w:pPr>
        <w:ind w:left="6018" w:hanging="180"/>
      </w:pPr>
    </w:lvl>
  </w:abstractNum>
  <w:abstractNum w:abstractNumId="6" w15:restartNumberingAfterBreak="0">
    <w:nsid w:val="2695590A"/>
    <w:multiLevelType w:val="hybridMultilevel"/>
    <w:tmpl w:val="610C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F384F"/>
    <w:multiLevelType w:val="hybridMultilevel"/>
    <w:tmpl w:val="45E27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29340D"/>
    <w:multiLevelType w:val="hybridMultilevel"/>
    <w:tmpl w:val="1D30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95964"/>
    <w:multiLevelType w:val="hybridMultilevel"/>
    <w:tmpl w:val="397249DA"/>
    <w:lvl w:ilvl="0" w:tplc="04090001">
      <w:start w:val="1"/>
      <w:numFmt w:val="bullet"/>
      <w:lvlText w:val=""/>
      <w:lvlJc w:val="left"/>
      <w:pPr>
        <w:ind w:left="898" w:hanging="360"/>
      </w:pPr>
      <w:rPr>
        <w:rFonts w:ascii="Symbol" w:hAnsi="Symbol" w:hint="default"/>
      </w:rPr>
    </w:lvl>
    <w:lvl w:ilvl="1" w:tplc="04090003" w:tentative="1">
      <w:start w:val="1"/>
      <w:numFmt w:val="bullet"/>
      <w:lvlText w:val="o"/>
      <w:lvlJc w:val="left"/>
      <w:pPr>
        <w:ind w:left="1618" w:hanging="360"/>
      </w:pPr>
      <w:rPr>
        <w:rFonts w:ascii="Courier New" w:hAnsi="Courier New" w:cs="Courier New" w:hint="default"/>
      </w:rPr>
    </w:lvl>
    <w:lvl w:ilvl="2" w:tplc="04090005" w:tentative="1">
      <w:start w:val="1"/>
      <w:numFmt w:val="bullet"/>
      <w:lvlText w:val=""/>
      <w:lvlJc w:val="left"/>
      <w:pPr>
        <w:ind w:left="2338" w:hanging="360"/>
      </w:pPr>
      <w:rPr>
        <w:rFonts w:ascii="Wingdings" w:hAnsi="Wingdings" w:hint="default"/>
      </w:rPr>
    </w:lvl>
    <w:lvl w:ilvl="3" w:tplc="04090001" w:tentative="1">
      <w:start w:val="1"/>
      <w:numFmt w:val="bullet"/>
      <w:lvlText w:val=""/>
      <w:lvlJc w:val="left"/>
      <w:pPr>
        <w:ind w:left="3058" w:hanging="360"/>
      </w:pPr>
      <w:rPr>
        <w:rFonts w:ascii="Symbol" w:hAnsi="Symbol" w:hint="default"/>
      </w:rPr>
    </w:lvl>
    <w:lvl w:ilvl="4" w:tplc="04090003" w:tentative="1">
      <w:start w:val="1"/>
      <w:numFmt w:val="bullet"/>
      <w:lvlText w:val="o"/>
      <w:lvlJc w:val="left"/>
      <w:pPr>
        <w:ind w:left="3778" w:hanging="360"/>
      </w:pPr>
      <w:rPr>
        <w:rFonts w:ascii="Courier New" w:hAnsi="Courier New" w:cs="Courier New" w:hint="default"/>
      </w:rPr>
    </w:lvl>
    <w:lvl w:ilvl="5" w:tplc="04090005" w:tentative="1">
      <w:start w:val="1"/>
      <w:numFmt w:val="bullet"/>
      <w:lvlText w:val=""/>
      <w:lvlJc w:val="left"/>
      <w:pPr>
        <w:ind w:left="4498" w:hanging="360"/>
      </w:pPr>
      <w:rPr>
        <w:rFonts w:ascii="Wingdings" w:hAnsi="Wingdings" w:hint="default"/>
      </w:rPr>
    </w:lvl>
    <w:lvl w:ilvl="6" w:tplc="04090001" w:tentative="1">
      <w:start w:val="1"/>
      <w:numFmt w:val="bullet"/>
      <w:lvlText w:val=""/>
      <w:lvlJc w:val="left"/>
      <w:pPr>
        <w:ind w:left="5218" w:hanging="360"/>
      </w:pPr>
      <w:rPr>
        <w:rFonts w:ascii="Symbol" w:hAnsi="Symbol" w:hint="default"/>
      </w:rPr>
    </w:lvl>
    <w:lvl w:ilvl="7" w:tplc="04090003" w:tentative="1">
      <w:start w:val="1"/>
      <w:numFmt w:val="bullet"/>
      <w:lvlText w:val="o"/>
      <w:lvlJc w:val="left"/>
      <w:pPr>
        <w:ind w:left="5938" w:hanging="360"/>
      </w:pPr>
      <w:rPr>
        <w:rFonts w:ascii="Courier New" w:hAnsi="Courier New" w:cs="Courier New" w:hint="default"/>
      </w:rPr>
    </w:lvl>
    <w:lvl w:ilvl="8" w:tplc="04090005" w:tentative="1">
      <w:start w:val="1"/>
      <w:numFmt w:val="bullet"/>
      <w:lvlText w:val=""/>
      <w:lvlJc w:val="left"/>
      <w:pPr>
        <w:ind w:left="6658" w:hanging="360"/>
      </w:pPr>
      <w:rPr>
        <w:rFonts w:ascii="Wingdings" w:hAnsi="Wingdings" w:hint="default"/>
      </w:rPr>
    </w:lvl>
  </w:abstractNum>
  <w:abstractNum w:abstractNumId="10" w15:restartNumberingAfterBreak="0">
    <w:nsid w:val="57CD2903"/>
    <w:multiLevelType w:val="hybridMultilevel"/>
    <w:tmpl w:val="3BC8F7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58D1017F"/>
    <w:multiLevelType w:val="hybridMultilevel"/>
    <w:tmpl w:val="9E6C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A0165C"/>
    <w:multiLevelType w:val="hybridMultilevel"/>
    <w:tmpl w:val="869A5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1762A26"/>
    <w:multiLevelType w:val="hybridMultilevel"/>
    <w:tmpl w:val="45E27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92237B"/>
    <w:multiLevelType w:val="hybridMultilevel"/>
    <w:tmpl w:val="D89096B0"/>
    <w:lvl w:ilvl="0" w:tplc="04090001">
      <w:start w:val="1"/>
      <w:numFmt w:val="bullet"/>
      <w:lvlText w:val=""/>
      <w:lvlJc w:val="left"/>
      <w:pPr>
        <w:ind w:left="360" w:hanging="360"/>
      </w:pPr>
      <w:rPr>
        <w:rFonts w:ascii="Symbol" w:hAnsi="Symbol" w:hint="default"/>
      </w:rPr>
    </w:lvl>
    <w:lvl w:ilvl="1" w:tplc="520288D8">
      <w:numFmt w:val="bullet"/>
      <w:lvlText w:val="-"/>
      <w:lvlJc w:val="left"/>
      <w:pPr>
        <w:ind w:left="1080" w:hanging="360"/>
      </w:pPr>
      <w:rPr>
        <w:rFonts w:ascii="Calibri" w:eastAsiaTheme="minorHAnsi" w:hAnsi="Calibri" w:cstheme="minorHAns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D53C50"/>
    <w:multiLevelType w:val="hybridMultilevel"/>
    <w:tmpl w:val="815C35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9F0961"/>
    <w:multiLevelType w:val="hybridMultilevel"/>
    <w:tmpl w:val="E2E2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123996"/>
    <w:multiLevelType w:val="hybridMultilevel"/>
    <w:tmpl w:val="CD5E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116F81"/>
    <w:multiLevelType w:val="hybridMultilevel"/>
    <w:tmpl w:val="03BA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7F7E1D"/>
    <w:multiLevelType w:val="hybridMultilevel"/>
    <w:tmpl w:val="646ACE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3045EE"/>
    <w:multiLevelType w:val="hybridMultilevel"/>
    <w:tmpl w:val="027E0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0C0052"/>
    <w:multiLevelType w:val="hybridMultilevel"/>
    <w:tmpl w:val="BCE8933E"/>
    <w:lvl w:ilvl="0" w:tplc="B3A4500E">
      <w:start w:val="1"/>
      <w:numFmt w:val="decimal"/>
      <w:lvlText w:val="%1."/>
      <w:lvlJc w:val="left"/>
      <w:pPr>
        <w:ind w:left="539" w:hanging="360"/>
      </w:pPr>
      <w:rPr>
        <w:rFonts w:hint="default"/>
      </w:rPr>
    </w:lvl>
    <w:lvl w:ilvl="1" w:tplc="04090019" w:tentative="1">
      <w:start w:val="1"/>
      <w:numFmt w:val="lowerLetter"/>
      <w:lvlText w:val="%2."/>
      <w:lvlJc w:val="left"/>
      <w:pPr>
        <w:ind w:left="1259" w:hanging="360"/>
      </w:pPr>
    </w:lvl>
    <w:lvl w:ilvl="2" w:tplc="0409001B" w:tentative="1">
      <w:start w:val="1"/>
      <w:numFmt w:val="lowerRoman"/>
      <w:lvlText w:val="%3."/>
      <w:lvlJc w:val="right"/>
      <w:pPr>
        <w:ind w:left="1979" w:hanging="180"/>
      </w:pPr>
    </w:lvl>
    <w:lvl w:ilvl="3" w:tplc="0409000F" w:tentative="1">
      <w:start w:val="1"/>
      <w:numFmt w:val="decimal"/>
      <w:lvlText w:val="%4."/>
      <w:lvlJc w:val="left"/>
      <w:pPr>
        <w:ind w:left="2699" w:hanging="360"/>
      </w:pPr>
    </w:lvl>
    <w:lvl w:ilvl="4" w:tplc="04090019" w:tentative="1">
      <w:start w:val="1"/>
      <w:numFmt w:val="lowerLetter"/>
      <w:lvlText w:val="%5."/>
      <w:lvlJc w:val="left"/>
      <w:pPr>
        <w:ind w:left="3419" w:hanging="360"/>
      </w:pPr>
    </w:lvl>
    <w:lvl w:ilvl="5" w:tplc="0409001B" w:tentative="1">
      <w:start w:val="1"/>
      <w:numFmt w:val="lowerRoman"/>
      <w:lvlText w:val="%6."/>
      <w:lvlJc w:val="right"/>
      <w:pPr>
        <w:ind w:left="4139" w:hanging="180"/>
      </w:pPr>
    </w:lvl>
    <w:lvl w:ilvl="6" w:tplc="0409000F" w:tentative="1">
      <w:start w:val="1"/>
      <w:numFmt w:val="decimal"/>
      <w:lvlText w:val="%7."/>
      <w:lvlJc w:val="left"/>
      <w:pPr>
        <w:ind w:left="4859" w:hanging="360"/>
      </w:pPr>
    </w:lvl>
    <w:lvl w:ilvl="7" w:tplc="04090019" w:tentative="1">
      <w:start w:val="1"/>
      <w:numFmt w:val="lowerLetter"/>
      <w:lvlText w:val="%8."/>
      <w:lvlJc w:val="left"/>
      <w:pPr>
        <w:ind w:left="5579" w:hanging="360"/>
      </w:pPr>
    </w:lvl>
    <w:lvl w:ilvl="8" w:tplc="0409001B" w:tentative="1">
      <w:start w:val="1"/>
      <w:numFmt w:val="lowerRoman"/>
      <w:lvlText w:val="%9."/>
      <w:lvlJc w:val="right"/>
      <w:pPr>
        <w:ind w:left="6299" w:hanging="180"/>
      </w:pPr>
    </w:lvl>
  </w:abstractNum>
  <w:abstractNum w:abstractNumId="22" w15:restartNumberingAfterBreak="0">
    <w:nsid w:val="7C5F1A11"/>
    <w:multiLevelType w:val="hybridMultilevel"/>
    <w:tmpl w:val="9D80DA7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4"/>
  </w:num>
  <w:num w:numId="4">
    <w:abstractNumId w:val="2"/>
  </w:num>
  <w:num w:numId="5">
    <w:abstractNumId w:val="15"/>
  </w:num>
  <w:num w:numId="6">
    <w:abstractNumId w:val="4"/>
  </w:num>
  <w:num w:numId="7">
    <w:abstractNumId w:val="11"/>
  </w:num>
  <w:num w:numId="8">
    <w:abstractNumId w:val="17"/>
  </w:num>
  <w:num w:numId="9">
    <w:abstractNumId w:val="22"/>
  </w:num>
  <w:num w:numId="10">
    <w:abstractNumId w:val="6"/>
  </w:num>
  <w:num w:numId="11">
    <w:abstractNumId w:val="18"/>
  </w:num>
  <w:num w:numId="12">
    <w:abstractNumId w:val="3"/>
  </w:num>
  <w:num w:numId="13">
    <w:abstractNumId w:val="8"/>
  </w:num>
  <w:num w:numId="14">
    <w:abstractNumId w:val="16"/>
  </w:num>
  <w:num w:numId="15">
    <w:abstractNumId w:val="5"/>
  </w:num>
  <w:num w:numId="16">
    <w:abstractNumId w:val="21"/>
  </w:num>
  <w:num w:numId="17">
    <w:abstractNumId w:val="12"/>
  </w:num>
  <w:num w:numId="18">
    <w:abstractNumId w:val="1"/>
  </w:num>
  <w:num w:numId="19">
    <w:abstractNumId w:val="9"/>
  </w:num>
  <w:num w:numId="20">
    <w:abstractNumId w:val="20"/>
  </w:num>
  <w:num w:numId="21">
    <w:abstractNumId w:val="19"/>
  </w:num>
  <w:num w:numId="22">
    <w:abstractNumId w:val="0"/>
  </w:num>
  <w:num w:numId="23">
    <w:abstractNumId w:val="1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A9B"/>
    <w:rsid w:val="00002BCE"/>
    <w:rsid w:val="0000332C"/>
    <w:rsid w:val="000069F7"/>
    <w:rsid w:val="0001120E"/>
    <w:rsid w:val="00011F44"/>
    <w:rsid w:val="00013FBD"/>
    <w:rsid w:val="000201B6"/>
    <w:rsid w:val="00020F0D"/>
    <w:rsid w:val="000229D2"/>
    <w:rsid w:val="00024C57"/>
    <w:rsid w:val="0002676F"/>
    <w:rsid w:val="00033B4A"/>
    <w:rsid w:val="00034FD7"/>
    <w:rsid w:val="0003503D"/>
    <w:rsid w:val="000411C3"/>
    <w:rsid w:val="00042AFE"/>
    <w:rsid w:val="0004662F"/>
    <w:rsid w:val="00050E3A"/>
    <w:rsid w:val="00051A0A"/>
    <w:rsid w:val="00051B6D"/>
    <w:rsid w:val="00051FA8"/>
    <w:rsid w:val="000525BB"/>
    <w:rsid w:val="000540DC"/>
    <w:rsid w:val="00055B24"/>
    <w:rsid w:val="00055C04"/>
    <w:rsid w:val="00057C11"/>
    <w:rsid w:val="000638D7"/>
    <w:rsid w:val="00064298"/>
    <w:rsid w:val="00064B19"/>
    <w:rsid w:val="00065D95"/>
    <w:rsid w:val="00065E0C"/>
    <w:rsid w:val="00066733"/>
    <w:rsid w:val="00071B30"/>
    <w:rsid w:val="0007355C"/>
    <w:rsid w:val="000757C7"/>
    <w:rsid w:val="00082398"/>
    <w:rsid w:val="000824B1"/>
    <w:rsid w:val="00084F22"/>
    <w:rsid w:val="0009103E"/>
    <w:rsid w:val="000A365E"/>
    <w:rsid w:val="000A7FB3"/>
    <w:rsid w:val="000B22AE"/>
    <w:rsid w:val="000C1421"/>
    <w:rsid w:val="000C1F61"/>
    <w:rsid w:val="000C6D05"/>
    <w:rsid w:val="000D0501"/>
    <w:rsid w:val="000D0668"/>
    <w:rsid w:val="000D18B3"/>
    <w:rsid w:val="000D336F"/>
    <w:rsid w:val="000D3CF6"/>
    <w:rsid w:val="000D4A21"/>
    <w:rsid w:val="000D54FD"/>
    <w:rsid w:val="000E059D"/>
    <w:rsid w:val="000E07AA"/>
    <w:rsid w:val="000E23AF"/>
    <w:rsid w:val="000F2732"/>
    <w:rsid w:val="000F5BC5"/>
    <w:rsid w:val="000F604A"/>
    <w:rsid w:val="000F6672"/>
    <w:rsid w:val="00103447"/>
    <w:rsid w:val="0010631D"/>
    <w:rsid w:val="00114AA2"/>
    <w:rsid w:val="0012178A"/>
    <w:rsid w:val="00121C1C"/>
    <w:rsid w:val="00124E27"/>
    <w:rsid w:val="00126DB6"/>
    <w:rsid w:val="00127C70"/>
    <w:rsid w:val="00130C06"/>
    <w:rsid w:val="00131D37"/>
    <w:rsid w:val="001341CE"/>
    <w:rsid w:val="00134EDB"/>
    <w:rsid w:val="0014001D"/>
    <w:rsid w:val="00141149"/>
    <w:rsid w:val="00141742"/>
    <w:rsid w:val="001426B7"/>
    <w:rsid w:val="00143F65"/>
    <w:rsid w:val="001462BE"/>
    <w:rsid w:val="00146A1C"/>
    <w:rsid w:val="001519ED"/>
    <w:rsid w:val="0015361B"/>
    <w:rsid w:val="00153789"/>
    <w:rsid w:val="001665B7"/>
    <w:rsid w:val="00167971"/>
    <w:rsid w:val="00167AE0"/>
    <w:rsid w:val="001705F2"/>
    <w:rsid w:val="00170C27"/>
    <w:rsid w:val="001757BD"/>
    <w:rsid w:val="00175D65"/>
    <w:rsid w:val="00176CA4"/>
    <w:rsid w:val="00182277"/>
    <w:rsid w:val="00195EEE"/>
    <w:rsid w:val="001967D9"/>
    <w:rsid w:val="00197264"/>
    <w:rsid w:val="001975A7"/>
    <w:rsid w:val="001A10A5"/>
    <w:rsid w:val="001A1EA9"/>
    <w:rsid w:val="001A26D1"/>
    <w:rsid w:val="001A3471"/>
    <w:rsid w:val="001A4A84"/>
    <w:rsid w:val="001B3B5D"/>
    <w:rsid w:val="001B3E39"/>
    <w:rsid w:val="001B627B"/>
    <w:rsid w:val="001C3908"/>
    <w:rsid w:val="001D1891"/>
    <w:rsid w:val="001D1D35"/>
    <w:rsid w:val="001D4886"/>
    <w:rsid w:val="001D6ABC"/>
    <w:rsid w:val="001E1D57"/>
    <w:rsid w:val="001E5445"/>
    <w:rsid w:val="001F248E"/>
    <w:rsid w:val="001F4375"/>
    <w:rsid w:val="00201648"/>
    <w:rsid w:val="00201CDA"/>
    <w:rsid w:val="00202B69"/>
    <w:rsid w:val="00203BE7"/>
    <w:rsid w:val="00203C41"/>
    <w:rsid w:val="0020514C"/>
    <w:rsid w:val="00214B30"/>
    <w:rsid w:val="00215E64"/>
    <w:rsid w:val="00223149"/>
    <w:rsid w:val="002242E8"/>
    <w:rsid w:val="0023026A"/>
    <w:rsid w:val="00230FF1"/>
    <w:rsid w:val="00232505"/>
    <w:rsid w:val="00235FC4"/>
    <w:rsid w:val="00236D54"/>
    <w:rsid w:val="0023781A"/>
    <w:rsid w:val="00244813"/>
    <w:rsid w:val="0024588D"/>
    <w:rsid w:val="00245F22"/>
    <w:rsid w:val="00255CAD"/>
    <w:rsid w:val="00256701"/>
    <w:rsid w:val="00257DFE"/>
    <w:rsid w:val="00261CEC"/>
    <w:rsid w:val="00265014"/>
    <w:rsid w:val="00265396"/>
    <w:rsid w:val="002702BF"/>
    <w:rsid w:val="00274120"/>
    <w:rsid w:val="00277B43"/>
    <w:rsid w:val="002803E3"/>
    <w:rsid w:val="0029174C"/>
    <w:rsid w:val="00296A2B"/>
    <w:rsid w:val="002B0249"/>
    <w:rsid w:val="002B0EAA"/>
    <w:rsid w:val="002B110B"/>
    <w:rsid w:val="002B17A2"/>
    <w:rsid w:val="002B17E7"/>
    <w:rsid w:val="002B29ED"/>
    <w:rsid w:val="002B6AC8"/>
    <w:rsid w:val="002C1415"/>
    <w:rsid w:val="002C42F5"/>
    <w:rsid w:val="002C6D64"/>
    <w:rsid w:val="002D0D98"/>
    <w:rsid w:val="002D11E7"/>
    <w:rsid w:val="002D18FF"/>
    <w:rsid w:val="002D1B53"/>
    <w:rsid w:val="002D2136"/>
    <w:rsid w:val="002D383C"/>
    <w:rsid w:val="002D4CAE"/>
    <w:rsid w:val="002D6BF8"/>
    <w:rsid w:val="002E0416"/>
    <w:rsid w:val="002E1625"/>
    <w:rsid w:val="002E26FD"/>
    <w:rsid w:val="002E28C4"/>
    <w:rsid w:val="002E2E8C"/>
    <w:rsid w:val="002E3DBA"/>
    <w:rsid w:val="002F64BF"/>
    <w:rsid w:val="00301C96"/>
    <w:rsid w:val="00313EB1"/>
    <w:rsid w:val="00313F3C"/>
    <w:rsid w:val="00314AED"/>
    <w:rsid w:val="003166A4"/>
    <w:rsid w:val="00316D16"/>
    <w:rsid w:val="00316F86"/>
    <w:rsid w:val="00341031"/>
    <w:rsid w:val="00342C93"/>
    <w:rsid w:val="00343060"/>
    <w:rsid w:val="00344231"/>
    <w:rsid w:val="00347CA0"/>
    <w:rsid w:val="003514A0"/>
    <w:rsid w:val="003517BB"/>
    <w:rsid w:val="00352496"/>
    <w:rsid w:val="00353F53"/>
    <w:rsid w:val="0035426A"/>
    <w:rsid w:val="003661DB"/>
    <w:rsid w:val="00376085"/>
    <w:rsid w:val="0037732B"/>
    <w:rsid w:val="003806E3"/>
    <w:rsid w:val="003815C8"/>
    <w:rsid w:val="0038797C"/>
    <w:rsid w:val="0039285C"/>
    <w:rsid w:val="0039444D"/>
    <w:rsid w:val="003A0FA3"/>
    <w:rsid w:val="003A1A01"/>
    <w:rsid w:val="003A20F8"/>
    <w:rsid w:val="003A4166"/>
    <w:rsid w:val="003A4955"/>
    <w:rsid w:val="003A663C"/>
    <w:rsid w:val="003A748F"/>
    <w:rsid w:val="003B13EC"/>
    <w:rsid w:val="003B2C05"/>
    <w:rsid w:val="003B4828"/>
    <w:rsid w:val="003B5CD1"/>
    <w:rsid w:val="003B646D"/>
    <w:rsid w:val="003C1D34"/>
    <w:rsid w:val="003C3084"/>
    <w:rsid w:val="003C3658"/>
    <w:rsid w:val="003C42E0"/>
    <w:rsid w:val="003D09A5"/>
    <w:rsid w:val="003D545B"/>
    <w:rsid w:val="003E06D0"/>
    <w:rsid w:val="003F264E"/>
    <w:rsid w:val="003F364A"/>
    <w:rsid w:val="00400FE5"/>
    <w:rsid w:val="0040114D"/>
    <w:rsid w:val="004012BC"/>
    <w:rsid w:val="0040285B"/>
    <w:rsid w:val="004046A3"/>
    <w:rsid w:val="004064FA"/>
    <w:rsid w:val="004069D0"/>
    <w:rsid w:val="00413786"/>
    <w:rsid w:val="00414CA7"/>
    <w:rsid w:val="004153BC"/>
    <w:rsid w:val="00423BCE"/>
    <w:rsid w:val="0042614A"/>
    <w:rsid w:val="0043257B"/>
    <w:rsid w:val="00435C7D"/>
    <w:rsid w:val="004365C7"/>
    <w:rsid w:val="00436EA8"/>
    <w:rsid w:val="004502D6"/>
    <w:rsid w:val="00457FA2"/>
    <w:rsid w:val="004621DA"/>
    <w:rsid w:val="00463F77"/>
    <w:rsid w:val="00480C7A"/>
    <w:rsid w:val="0048196D"/>
    <w:rsid w:val="0048272B"/>
    <w:rsid w:val="004833B0"/>
    <w:rsid w:val="004837CA"/>
    <w:rsid w:val="00487A3F"/>
    <w:rsid w:val="00490DAD"/>
    <w:rsid w:val="0049622E"/>
    <w:rsid w:val="0049771D"/>
    <w:rsid w:val="004A051B"/>
    <w:rsid w:val="004A1F1C"/>
    <w:rsid w:val="004A3EC2"/>
    <w:rsid w:val="004A53B5"/>
    <w:rsid w:val="004A75DA"/>
    <w:rsid w:val="004A76D7"/>
    <w:rsid w:val="004B7A60"/>
    <w:rsid w:val="004C0FFA"/>
    <w:rsid w:val="004C2755"/>
    <w:rsid w:val="004D0EF8"/>
    <w:rsid w:val="004D2788"/>
    <w:rsid w:val="004D7098"/>
    <w:rsid w:val="004D712C"/>
    <w:rsid w:val="004D748A"/>
    <w:rsid w:val="004E14E4"/>
    <w:rsid w:val="004F38F5"/>
    <w:rsid w:val="004F447C"/>
    <w:rsid w:val="00500B15"/>
    <w:rsid w:val="00501271"/>
    <w:rsid w:val="0050437A"/>
    <w:rsid w:val="005057CC"/>
    <w:rsid w:val="00506546"/>
    <w:rsid w:val="00510ED0"/>
    <w:rsid w:val="00512A9B"/>
    <w:rsid w:val="005153DB"/>
    <w:rsid w:val="00515A8D"/>
    <w:rsid w:val="0052506F"/>
    <w:rsid w:val="0052783B"/>
    <w:rsid w:val="0053200D"/>
    <w:rsid w:val="00532DEB"/>
    <w:rsid w:val="005403EC"/>
    <w:rsid w:val="005410AE"/>
    <w:rsid w:val="00544FBD"/>
    <w:rsid w:val="005472C0"/>
    <w:rsid w:val="00552254"/>
    <w:rsid w:val="00552849"/>
    <w:rsid w:val="00554B0C"/>
    <w:rsid w:val="005567D8"/>
    <w:rsid w:val="00556B70"/>
    <w:rsid w:val="005703A3"/>
    <w:rsid w:val="00573435"/>
    <w:rsid w:val="00583C8D"/>
    <w:rsid w:val="005910D3"/>
    <w:rsid w:val="0059381E"/>
    <w:rsid w:val="0059458E"/>
    <w:rsid w:val="00595635"/>
    <w:rsid w:val="005A1750"/>
    <w:rsid w:val="005A18CF"/>
    <w:rsid w:val="005A4779"/>
    <w:rsid w:val="005A548C"/>
    <w:rsid w:val="005B0403"/>
    <w:rsid w:val="005C29C7"/>
    <w:rsid w:val="005C2B65"/>
    <w:rsid w:val="005C30CD"/>
    <w:rsid w:val="005C4146"/>
    <w:rsid w:val="005C4C28"/>
    <w:rsid w:val="005C55FC"/>
    <w:rsid w:val="005C6353"/>
    <w:rsid w:val="005C669E"/>
    <w:rsid w:val="005C6A2F"/>
    <w:rsid w:val="005D0ADE"/>
    <w:rsid w:val="005D20D8"/>
    <w:rsid w:val="005D2C91"/>
    <w:rsid w:val="005D35B6"/>
    <w:rsid w:val="005D578A"/>
    <w:rsid w:val="005D5BCE"/>
    <w:rsid w:val="005E3D70"/>
    <w:rsid w:val="005E5638"/>
    <w:rsid w:val="005F0C35"/>
    <w:rsid w:val="005F254A"/>
    <w:rsid w:val="005F50D8"/>
    <w:rsid w:val="005F770F"/>
    <w:rsid w:val="006054CA"/>
    <w:rsid w:val="00611938"/>
    <w:rsid w:val="00616C47"/>
    <w:rsid w:val="006205DC"/>
    <w:rsid w:val="00620D36"/>
    <w:rsid w:val="00627708"/>
    <w:rsid w:val="00627E30"/>
    <w:rsid w:val="00631625"/>
    <w:rsid w:val="006334E4"/>
    <w:rsid w:val="00634DC8"/>
    <w:rsid w:val="006351D0"/>
    <w:rsid w:val="006474E7"/>
    <w:rsid w:val="00651ECB"/>
    <w:rsid w:val="006541D3"/>
    <w:rsid w:val="00655FF8"/>
    <w:rsid w:val="00657C6A"/>
    <w:rsid w:val="0066011A"/>
    <w:rsid w:val="00660768"/>
    <w:rsid w:val="006649C0"/>
    <w:rsid w:val="00666BAB"/>
    <w:rsid w:val="006719F8"/>
    <w:rsid w:val="00675C9C"/>
    <w:rsid w:val="0068123D"/>
    <w:rsid w:val="00693148"/>
    <w:rsid w:val="00695B95"/>
    <w:rsid w:val="006A263B"/>
    <w:rsid w:val="006A7B3E"/>
    <w:rsid w:val="006B1B62"/>
    <w:rsid w:val="006B5098"/>
    <w:rsid w:val="006C5CCF"/>
    <w:rsid w:val="006D48A6"/>
    <w:rsid w:val="006D50D1"/>
    <w:rsid w:val="006D5AD7"/>
    <w:rsid w:val="006E06E7"/>
    <w:rsid w:val="006E0F99"/>
    <w:rsid w:val="006E318B"/>
    <w:rsid w:val="006E343D"/>
    <w:rsid w:val="006E5021"/>
    <w:rsid w:val="006E5158"/>
    <w:rsid w:val="006E6A05"/>
    <w:rsid w:val="006E7FEC"/>
    <w:rsid w:val="006F05C9"/>
    <w:rsid w:val="006F078B"/>
    <w:rsid w:val="006F740D"/>
    <w:rsid w:val="007032A7"/>
    <w:rsid w:val="00705C29"/>
    <w:rsid w:val="0071096F"/>
    <w:rsid w:val="0071162C"/>
    <w:rsid w:val="00711F01"/>
    <w:rsid w:val="00713F9C"/>
    <w:rsid w:val="0071711A"/>
    <w:rsid w:val="00717448"/>
    <w:rsid w:val="00717603"/>
    <w:rsid w:val="00725F9F"/>
    <w:rsid w:val="007267BB"/>
    <w:rsid w:val="007472D2"/>
    <w:rsid w:val="00752A35"/>
    <w:rsid w:val="007613E4"/>
    <w:rsid w:val="007658B2"/>
    <w:rsid w:val="00766E2D"/>
    <w:rsid w:val="00773250"/>
    <w:rsid w:val="00780792"/>
    <w:rsid w:val="00782732"/>
    <w:rsid w:val="0078301D"/>
    <w:rsid w:val="00785F34"/>
    <w:rsid w:val="00792D0C"/>
    <w:rsid w:val="0079320B"/>
    <w:rsid w:val="007951F5"/>
    <w:rsid w:val="007A3052"/>
    <w:rsid w:val="007A3345"/>
    <w:rsid w:val="007B315D"/>
    <w:rsid w:val="007B73D7"/>
    <w:rsid w:val="007C4116"/>
    <w:rsid w:val="007C65FD"/>
    <w:rsid w:val="007C727A"/>
    <w:rsid w:val="007D34F6"/>
    <w:rsid w:val="007D3E28"/>
    <w:rsid w:val="007D47F0"/>
    <w:rsid w:val="007D7A68"/>
    <w:rsid w:val="007E0D2F"/>
    <w:rsid w:val="007E0E44"/>
    <w:rsid w:val="007E10C4"/>
    <w:rsid w:val="007F11B3"/>
    <w:rsid w:val="007F2181"/>
    <w:rsid w:val="007F4E27"/>
    <w:rsid w:val="007F6D4E"/>
    <w:rsid w:val="0080597C"/>
    <w:rsid w:val="00807026"/>
    <w:rsid w:val="008075EA"/>
    <w:rsid w:val="00810FA0"/>
    <w:rsid w:val="00812286"/>
    <w:rsid w:val="008136D0"/>
    <w:rsid w:val="00821D10"/>
    <w:rsid w:val="00825F71"/>
    <w:rsid w:val="00826181"/>
    <w:rsid w:val="008320E7"/>
    <w:rsid w:val="0084034C"/>
    <w:rsid w:val="00840D1F"/>
    <w:rsid w:val="00841893"/>
    <w:rsid w:val="00842BFC"/>
    <w:rsid w:val="00844C75"/>
    <w:rsid w:val="00845597"/>
    <w:rsid w:val="00845F1F"/>
    <w:rsid w:val="00846432"/>
    <w:rsid w:val="00855AF1"/>
    <w:rsid w:val="00856C47"/>
    <w:rsid w:val="008650A1"/>
    <w:rsid w:val="00875C7B"/>
    <w:rsid w:val="0087718B"/>
    <w:rsid w:val="0088139C"/>
    <w:rsid w:val="00881FBC"/>
    <w:rsid w:val="0088287C"/>
    <w:rsid w:val="00882C27"/>
    <w:rsid w:val="00884570"/>
    <w:rsid w:val="00885170"/>
    <w:rsid w:val="008874C8"/>
    <w:rsid w:val="00891046"/>
    <w:rsid w:val="0089379E"/>
    <w:rsid w:val="00895664"/>
    <w:rsid w:val="008957D4"/>
    <w:rsid w:val="00897B09"/>
    <w:rsid w:val="008A15DF"/>
    <w:rsid w:val="008A1D48"/>
    <w:rsid w:val="008A35B0"/>
    <w:rsid w:val="008A5C96"/>
    <w:rsid w:val="008A7507"/>
    <w:rsid w:val="008B77E7"/>
    <w:rsid w:val="008C0DFA"/>
    <w:rsid w:val="008C644B"/>
    <w:rsid w:val="008C7275"/>
    <w:rsid w:val="008D56D9"/>
    <w:rsid w:val="008D675E"/>
    <w:rsid w:val="008D6F6C"/>
    <w:rsid w:val="008E1C2D"/>
    <w:rsid w:val="008E29B3"/>
    <w:rsid w:val="008F03F5"/>
    <w:rsid w:val="008F5AC8"/>
    <w:rsid w:val="008F75D8"/>
    <w:rsid w:val="00900C62"/>
    <w:rsid w:val="009025AB"/>
    <w:rsid w:val="0090685A"/>
    <w:rsid w:val="009109FF"/>
    <w:rsid w:val="009138D4"/>
    <w:rsid w:val="009239E8"/>
    <w:rsid w:val="0092542B"/>
    <w:rsid w:val="00925971"/>
    <w:rsid w:val="0092671D"/>
    <w:rsid w:val="00935331"/>
    <w:rsid w:val="0093655B"/>
    <w:rsid w:val="00947BD9"/>
    <w:rsid w:val="00950CC3"/>
    <w:rsid w:val="00952964"/>
    <w:rsid w:val="00952E80"/>
    <w:rsid w:val="00952FF6"/>
    <w:rsid w:val="00956B1F"/>
    <w:rsid w:val="00961AD8"/>
    <w:rsid w:val="009663EA"/>
    <w:rsid w:val="00972B6C"/>
    <w:rsid w:val="00972CD2"/>
    <w:rsid w:val="00973EEA"/>
    <w:rsid w:val="009822CA"/>
    <w:rsid w:val="00984194"/>
    <w:rsid w:val="0098512C"/>
    <w:rsid w:val="009861F7"/>
    <w:rsid w:val="00990FDE"/>
    <w:rsid w:val="009A074A"/>
    <w:rsid w:val="009A0F2A"/>
    <w:rsid w:val="009A325F"/>
    <w:rsid w:val="009A4B56"/>
    <w:rsid w:val="009A72BD"/>
    <w:rsid w:val="009A7924"/>
    <w:rsid w:val="009B106C"/>
    <w:rsid w:val="009B2A22"/>
    <w:rsid w:val="009B64CB"/>
    <w:rsid w:val="009B65C8"/>
    <w:rsid w:val="009B7E39"/>
    <w:rsid w:val="009C02E7"/>
    <w:rsid w:val="009C202A"/>
    <w:rsid w:val="009C2F26"/>
    <w:rsid w:val="009D0E94"/>
    <w:rsid w:val="009D2082"/>
    <w:rsid w:val="009D2463"/>
    <w:rsid w:val="009D3A0C"/>
    <w:rsid w:val="009D4F93"/>
    <w:rsid w:val="009E2A7A"/>
    <w:rsid w:val="009E2C67"/>
    <w:rsid w:val="009E3374"/>
    <w:rsid w:val="009E5BD7"/>
    <w:rsid w:val="009F0E5E"/>
    <w:rsid w:val="009F22B7"/>
    <w:rsid w:val="009F2FCB"/>
    <w:rsid w:val="009F3B61"/>
    <w:rsid w:val="009F6E8B"/>
    <w:rsid w:val="00A03990"/>
    <w:rsid w:val="00A04326"/>
    <w:rsid w:val="00A11231"/>
    <w:rsid w:val="00A119E4"/>
    <w:rsid w:val="00A16372"/>
    <w:rsid w:val="00A16E07"/>
    <w:rsid w:val="00A16EE8"/>
    <w:rsid w:val="00A20EAC"/>
    <w:rsid w:val="00A211C6"/>
    <w:rsid w:val="00A26026"/>
    <w:rsid w:val="00A27FE8"/>
    <w:rsid w:val="00A310E7"/>
    <w:rsid w:val="00A41429"/>
    <w:rsid w:val="00A41480"/>
    <w:rsid w:val="00A420C5"/>
    <w:rsid w:val="00A46381"/>
    <w:rsid w:val="00A50520"/>
    <w:rsid w:val="00A5127E"/>
    <w:rsid w:val="00A63A59"/>
    <w:rsid w:val="00A66D7B"/>
    <w:rsid w:val="00A67C6B"/>
    <w:rsid w:val="00A67F7B"/>
    <w:rsid w:val="00A75969"/>
    <w:rsid w:val="00A80BC0"/>
    <w:rsid w:val="00A91E07"/>
    <w:rsid w:val="00AA063A"/>
    <w:rsid w:val="00AA0C67"/>
    <w:rsid w:val="00AA1113"/>
    <w:rsid w:val="00AA2186"/>
    <w:rsid w:val="00AA2EE8"/>
    <w:rsid w:val="00AA7A79"/>
    <w:rsid w:val="00AB1D62"/>
    <w:rsid w:val="00AB248F"/>
    <w:rsid w:val="00AB4D64"/>
    <w:rsid w:val="00AB7EF4"/>
    <w:rsid w:val="00AC13CF"/>
    <w:rsid w:val="00AC203E"/>
    <w:rsid w:val="00AC2DD9"/>
    <w:rsid w:val="00AC491F"/>
    <w:rsid w:val="00AD5D52"/>
    <w:rsid w:val="00AD6379"/>
    <w:rsid w:val="00AE26B6"/>
    <w:rsid w:val="00AF38B0"/>
    <w:rsid w:val="00B0063E"/>
    <w:rsid w:val="00B03603"/>
    <w:rsid w:val="00B0407A"/>
    <w:rsid w:val="00B05C30"/>
    <w:rsid w:val="00B061FF"/>
    <w:rsid w:val="00B07BE7"/>
    <w:rsid w:val="00B10960"/>
    <w:rsid w:val="00B11786"/>
    <w:rsid w:val="00B141B4"/>
    <w:rsid w:val="00B14AA5"/>
    <w:rsid w:val="00B21912"/>
    <w:rsid w:val="00B30BE1"/>
    <w:rsid w:val="00B32043"/>
    <w:rsid w:val="00B37A16"/>
    <w:rsid w:val="00B405AF"/>
    <w:rsid w:val="00B40817"/>
    <w:rsid w:val="00B47270"/>
    <w:rsid w:val="00B50762"/>
    <w:rsid w:val="00B50E8E"/>
    <w:rsid w:val="00B51A70"/>
    <w:rsid w:val="00B54638"/>
    <w:rsid w:val="00B55BD9"/>
    <w:rsid w:val="00B61580"/>
    <w:rsid w:val="00B70954"/>
    <w:rsid w:val="00B75591"/>
    <w:rsid w:val="00B76F5E"/>
    <w:rsid w:val="00B84A92"/>
    <w:rsid w:val="00B8563E"/>
    <w:rsid w:val="00B95562"/>
    <w:rsid w:val="00B95AAE"/>
    <w:rsid w:val="00BA41C4"/>
    <w:rsid w:val="00BA65CF"/>
    <w:rsid w:val="00BA721C"/>
    <w:rsid w:val="00BB0FD4"/>
    <w:rsid w:val="00BB1A1C"/>
    <w:rsid w:val="00BB1E6E"/>
    <w:rsid w:val="00BB67E5"/>
    <w:rsid w:val="00BB6825"/>
    <w:rsid w:val="00BB7075"/>
    <w:rsid w:val="00BC05D7"/>
    <w:rsid w:val="00BC2510"/>
    <w:rsid w:val="00BC2A35"/>
    <w:rsid w:val="00BC346F"/>
    <w:rsid w:val="00BC502C"/>
    <w:rsid w:val="00BC7226"/>
    <w:rsid w:val="00BC7B2C"/>
    <w:rsid w:val="00BD1154"/>
    <w:rsid w:val="00BD139F"/>
    <w:rsid w:val="00BD491F"/>
    <w:rsid w:val="00BD7680"/>
    <w:rsid w:val="00BE4D8C"/>
    <w:rsid w:val="00BF331D"/>
    <w:rsid w:val="00BF36BB"/>
    <w:rsid w:val="00BF440E"/>
    <w:rsid w:val="00C048A3"/>
    <w:rsid w:val="00C04A64"/>
    <w:rsid w:val="00C05107"/>
    <w:rsid w:val="00C1092C"/>
    <w:rsid w:val="00C111CC"/>
    <w:rsid w:val="00C156C5"/>
    <w:rsid w:val="00C15BA9"/>
    <w:rsid w:val="00C21C74"/>
    <w:rsid w:val="00C2741F"/>
    <w:rsid w:val="00C276F9"/>
    <w:rsid w:val="00C27A9B"/>
    <w:rsid w:val="00C5172D"/>
    <w:rsid w:val="00C51D87"/>
    <w:rsid w:val="00C565EF"/>
    <w:rsid w:val="00C62B3A"/>
    <w:rsid w:val="00C71056"/>
    <w:rsid w:val="00C711C4"/>
    <w:rsid w:val="00C72A93"/>
    <w:rsid w:val="00C735F1"/>
    <w:rsid w:val="00C775E0"/>
    <w:rsid w:val="00C81EFD"/>
    <w:rsid w:val="00C81FC3"/>
    <w:rsid w:val="00C825D5"/>
    <w:rsid w:val="00C82809"/>
    <w:rsid w:val="00C939E6"/>
    <w:rsid w:val="00CA2E3A"/>
    <w:rsid w:val="00CA3A6F"/>
    <w:rsid w:val="00CA63E9"/>
    <w:rsid w:val="00CA7991"/>
    <w:rsid w:val="00CB1166"/>
    <w:rsid w:val="00CB73DC"/>
    <w:rsid w:val="00CC61BA"/>
    <w:rsid w:val="00CC6D79"/>
    <w:rsid w:val="00CD1320"/>
    <w:rsid w:val="00CD21AC"/>
    <w:rsid w:val="00CD23FA"/>
    <w:rsid w:val="00CD27EA"/>
    <w:rsid w:val="00CD5B5F"/>
    <w:rsid w:val="00CD60CA"/>
    <w:rsid w:val="00CE2298"/>
    <w:rsid w:val="00CE3911"/>
    <w:rsid w:val="00CE3EFA"/>
    <w:rsid w:val="00CF1269"/>
    <w:rsid w:val="00CF2C72"/>
    <w:rsid w:val="00CF623B"/>
    <w:rsid w:val="00D11263"/>
    <w:rsid w:val="00D126C7"/>
    <w:rsid w:val="00D1306A"/>
    <w:rsid w:val="00D142B0"/>
    <w:rsid w:val="00D15C0B"/>
    <w:rsid w:val="00D21BA1"/>
    <w:rsid w:val="00D224AE"/>
    <w:rsid w:val="00D308C2"/>
    <w:rsid w:val="00D3121F"/>
    <w:rsid w:val="00D32348"/>
    <w:rsid w:val="00D3346E"/>
    <w:rsid w:val="00D36CBD"/>
    <w:rsid w:val="00D37586"/>
    <w:rsid w:val="00D50C46"/>
    <w:rsid w:val="00D6034F"/>
    <w:rsid w:val="00D610BA"/>
    <w:rsid w:val="00D6260A"/>
    <w:rsid w:val="00D629B6"/>
    <w:rsid w:val="00D7285C"/>
    <w:rsid w:val="00D76E44"/>
    <w:rsid w:val="00D8212D"/>
    <w:rsid w:val="00D83E1C"/>
    <w:rsid w:val="00D861B7"/>
    <w:rsid w:val="00D87BA9"/>
    <w:rsid w:val="00D977CE"/>
    <w:rsid w:val="00DA2990"/>
    <w:rsid w:val="00DA35DB"/>
    <w:rsid w:val="00DB0419"/>
    <w:rsid w:val="00DB4C83"/>
    <w:rsid w:val="00DB7D8C"/>
    <w:rsid w:val="00DC2D15"/>
    <w:rsid w:val="00DD4667"/>
    <w:rsid w:val="00DD6806"/>
    <w:rsid w:val="00DD6F71"/>
    <w:rsid w:val="00DE2CDE"/>
    <w:rsid w:val="00DE41B9"/>
    <w:rsid w:val="00DE759A"/>
    <w:rsid w:val="00DF1183"/>
    <w:rsid w:val="00DF1D36"/>
    <w:rsid w:val="00DF3A3E"/>
    <w:rsid w:val="00DF4C4B"/>
    <w:rsid w:val="00DF6C8E"/>
    <w:rsid w:val="00E01B3A"/>
    <w:rsid w:val="00E01BC8"/>
    <w:rsid w:val="00E035E6"/>
    <w:rsid w:val="00E03721"/>
    <w:rsid w:val="00E052CB"/>
    <w:rsid w:val="00E055E0"/>
    <w:rsid w:val="00E119D4"/>
    <w:rsid w:val="00E13621"/>
    <w:rsid w:val="00E14C52"/>
    <w:rsid w:val="00E16F91"/>
    <w:rsid w:val="00E25AC8"/>
    <w:rsid w:val="00E30EB4"/>
    <w:rsid w:val="00E34299"/>
    <w:rsid w:val="00E35474"/>
    <w:rsid w:val="00E3569B"/>
    <w:rsid w:val="00E357A0"/>
    <w:rsid w:val="00E36DA7"/>
    <w:rsid w:val="00E4498C"/>
    <w:rsid w:val="00E4779B"/>
    <w:rsid w:val="00E47D67"/>
    <w:rsid w:val="00E5109C"/>
    <w:rsid w:val="00E5343B"/>
    <w:rsid w:val="00E550E5"/>
    <w:rsid w:val="00E55522"/>
    <w:rsid w:val="00E622F7"/>
    <w:rsid w:val="00E67B5C"/>
    <w:rsid w:val="00E709C1"/>
    <w:rsid w:val="00E71E29"/>
    <w:rsid w:val="00E81486"/>
    <w:rsid w:val="00E83B32"/>
    <w:rsid w:val="00E84C6F"/>
    <w:rsid w:val="00E8730B"/>
    <w:rsid w:val="00E90F4A"/>
    <w:rsid w:val="00E93E6D"/>
    <w:rsid w:val="00EA26FB"/>
    <w:rsid w:val="00EA2741"/>
    <w:rsid w:val="00EA3DC0"/>
    <w:rsid w:val="00EA633B"/>
    <w:rsid w:val="00EA6D65"/>
    <w:rsid w:val="00EA7D18"/>
    <w:rsid w:val="00EB1DC4"/>
    <w:rsid w:val="00EC22B0"/>
    <w:rsid w:val="00EC4C67"/>
    <w:rsid w:val="00ED57AD"/>
    <w:rsid w:val="00ED7F4C"/>
    <w:rsid w:val="00EE06BC"/>
    <w:rsid w:val="00EE0C28"/>
    <w:rsid w:val="00EE3D67"/>
    <w:rsid w:val="00EE63C1"/>
    <w:rsid w:val="00EF16BF"/>
    <w:rsid w:val="00EF264C"/>
    <w:rsid w:val="00EF405E"/>
    <w:rsid w:val="00EF5AF0"/>
    <w:rsid w:val="00EF73F7"/>
    <w:rsid w:val="00F056B3"/>
    <w:rsid w:val="00F05F93"/>
    <w:rsid w:val="00F123ED"/>
    <w:rsid w:val="00F153AC"/>
    <w:rsid w:val="00F17F71"/>
    <w:rsid w:val="00F20A0D"/>
    <w:rsid w:val="00F21BC7"/>
    <w:rsid w:val="00F2227C"/>
    <w:rsid w:val="00F3101A"/>
    <w:rsid w:val="00F3348B"/>
    <w:rsid w:val="00F37C9C"/>
    <w:rsid w:val="00F574C0"/>
    <w:rsid w:val="00F61A69"/>
    <w:rsid w:val="00F62444"/>
    <w:rsid w:val="00F62EE2"/>
    <w:rsid w:val="00F64B6F"/>
    <w:rsid w:val="00F6597C"/>
    <w:rsid w:val="00F665B3"/>
    <w:rsid w:val="00F77FE2"/>
    <w:rsid w:val="00F8140B"/>
    <w:rsid w:val="00F81935"/>
    <w:rsid w:val="00F85A5B"/>
    <w:rsid w:val="00F9017C"/>
    <w:rsid w:val="00F94EBB"/>
    <w:rsid w:val="00FA6109"/>
    <w:rsid w:val="00FA7CC9"/>
    <w:rsid w:val="00FB11B1"/>
    <w:rsid w:val="00FB5114"/>
    <w:rsid w:val="00FB7D21"/>
    <w:rsid w:val="00FC0659"/>
    <w:rsid w:val="00FC3831"/>
    <w:rsid w:val="00FC79EC"/>
    <w:rsid w:val="00FD24C0"/>
    <w:rsid w:val="00FE0A0C"/>
    <w:rsid w:val="00FE1E70"/>
    <w:rsid w:val="00FF1892"/>
    <w:rsid w:val="00FF313B"/>
    <w:rsid w:val="00FF542F"/>
    <w:rsid w:val="00FF5A39"/>
    <w:rsid w:val="13D9BDBB"/>
    <w:rsid w:val="1449D44F"/>
    <w:rsid w:val="2CC04660"/>
    <w:rsid w:val="2EB73B07"/>
    <w:rsid w:val="2FC6CAC1"/>
    <w:rsid w:val="37425540"/>
    <w:rsid w:val="3D659EE9"/>
    <w:rsid w:val="3DCEA303"/>
    <w:rsid w:val="40D32020"/>
    <w:rsid w:val="4757E706"/>
    <w:rsid w:val="475ADBBD"/>
    <w:rsid w:val="579CE608"/>
    <w:rsid w:val="5ED9F1B9"/>
    <w:rsid w:val="6311BA9C"/>
    <w:rsid w:val="643B5301"/>
    <w:rsid w:val="67659DF1"/>
    <w:rsid w:val="69F58142"/>
    <w:rsid w:val="6DA4DAAB"/>
    <w:rsid w:val="733E847A"/>
    <w:rsid w:val="73609DB9"/>
    <w:rsid w:val="74B95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2E358"/>
  <w15:chartTrackingRefBased/>
  <w15:docId w15:val="{867A9888-D365-44C6-9036-6F2088B2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BD9"/>
    <w:rPr>
      <w:color w:val="0563C1" w:themeColor="hyperlink"/>
      <w:u w:val="single"/>
    </w:rPr>
  </w:style>
  <w:style w:type="character" w:styleId="UnresolvedMention">
    <w:name w:val="Unresolved Mention"/>
    <w:basedOn w:val="DefaultParagraphFont"/>
    <w:uiPriority w:val="99"/>
    <w:semiHidden/>
    <w:unhideWhenUsed/>
    <w:rsid w:val="00B55BD9"/>
    <w:rPr>
      <w:color w:val="605E5C"/>
      <w:shd w:val="clear" w:color="auto" w:fill="E1DFDD"/>
    </w:rPr>
  </w:style>
  <w:style w:type="character" w:styleId="Emphasis">
    <w:name w:val="Emphasis"/>
    <w:basedOn w:val="DefaultParagraphFont"/>
    <w:uiPriority w:val="20"/>
    <w:qFormat/>
    <w:rsid w:val="00B55BD9"/>
    <w:rPr>
      <w:i/>
      <w:iCs/>
    </w:rPr>
  </w:style>
  <w:style w:type="paragraph" w:styleId="NormalWeb">
    <w:name w:val="Normal (Web)"/>
    <w:basedOn w:val="Normal"/>
    <w:uiPriority w:val="99"/>
    <w:semiHidden/>
    <w:unhideWhenUsed/>
    <w:rsid w:val="00595635"/>
    <w:pPr>
      <w:spacing w:before="100" w:beforeAutospacing="1" w:after="100" w:afterAutospacing="1" w:line="312" w:lineRule="auto"/>
    </w:pPr>
    <w:rPr>
      <w:rFonts w:ascii="Times New Roman" w:eastAsia="Times New Roman" w:hAnsi="Times New Roman" w:cs="Times New Roman"/>
      <w:sz w:val="24"/>
      <w:szCs w:val="24"/>
    </w:rPr>
  </w:style>
  <w:style w:type="paragraph" w:styleId="FootnoteText">
    <w:name w:val="footnote text"/>
    <w:aliases w:val="single space,footnote text,ft,fn,FOOTNOTES,ADB,WB-Fußnotentext,Fußnote,Geneva 9,Font: Geneva 9,Boston 10,f,12pt,12pt Знак,12pt Знак Знак Знак Знак Знак,12pt Знак Знак Знак Знак,Текст сноски Знак,Footnote Text Char1 Char,Texto nota pie Car"/>
    <w:basedOn w:val="Normal"/>
    <w:link w:val="FootnoteTextChar"/>
    <w:uiPriority w:val="99"/>
    <w:semiHidden/>
    <w:unhideWhenUsed/>
    <w:qFormat/>
    <w:rsid w:val="00EA633B"/>
    <w:pPr>
      <w:spacing w:after="0" w:line="240" w:lineRule="auto"/>
    </w:pPr>
    <w:rPr>
      <w:rFonts w:ascii="Arial" w:eastAsia="Calibri" w:hAnsi="Arial" w:cs="Times New Roman"/>
      <w:sz w:val="20"/>
      <w:szCs w:val="20"/>
      <w:lang w:val="en-GB"/>
    </w:rPr>
  </w:style>
  <w:style w:type="character" w:customStyle="1" w:styleId="FootnoteTextChar">
    <w:name w:val="Footnote Text Char"/>
    <w:aliases w:val="single space Char,footnote text Char,ft Char,fn Char,FOOTNOTES Char,ADB Char,WB-Fußnotentext Char,Fußnote Char,Geneva 9 Char,Font: Geneva 9 Char,Boston 10 Char,f Char,12pt Char,12pt Знак Char,12pt Знак Знак Знак Знак Знак Char"/>
    <w:basedOn w:val="DefaultParagraphFont"/>
    <w:link w:val="FootnoteText"/>
    <w:uiPriority w:val="99"/>
    <w:semiHidden/>
    <w:rsid w:val="00EA633B"/>
    <w:rPr>
      <w:rFonts w:ascii="Arial" w:eastAsia="Calibri" w:hAnsi="Arial" w:cs="Times New Roman"/>
      <w:sz w:val="20"/>
      <w:szCs w:val="20"/>
      <w:lang w:val="en-GB"/>
    </w:rPr>
  </w:style>
  <w:style w:type="paragraph" w:styleId="ListParagraph">
    <w:name w:val="List Paragraph"/>
    <w:aliases w:val="List Paragraph (numbered (a)),Bullet 1,Bullet Points,Dot pt,F5 List Paragraph,Indicator Text,Lapis Bulleted List,List Paragraph Char Char Char,List Paragraph1,List Paragraph12,MAIN CONTENT,No Spacing1,Numbered Para 1,References,WB Para"/>
    <w:basedOn w:val="Normal"/>
    <w:link w:val="ListParagraphChar"/>
    <w:uiPriority w:val="34"/>
    <w:qFormat/>
    <w:rsid w:val="00EA633B"/>
    <w:pPr>
      <w:spacing w:after="200" w:line="276" w:lineRule="auto"/>
      <w:ind w:left="720"/>
      <w:contextualSpacing/>
    </w:pPr>
    <w:rPr>
      <w:rFonts w:ascii="Arial" w:eastAsia="Calibri" w:hAnsi="Arial" w:cs="Times New Roman"/>
      <w:lang w:val="en-GB"/>
    </w:rPr>
  </w:style>
  <w:style w:type="character" w:styleId="FootnoteReference">
    <w:name w:val="footnote reference"/>
    <w:aliases w:val="Footnote reference Char,ftref,Footnotes refss,Texto de nota al pie,Appel note de bas de page,Footnote number,referencia nota al pie,BVI fnr,4_G,16 Point,Superscript 6 Point,Ref. de nota al pie.,Footnote symbol,Footnote,Ref,normal,fr"/>
    <w:link w:val="FootnoteReference1"/>
    <w:uiPriority w:val="99"/>
    <w:unhideWhenUsed/>
    <w:qFormat/>
    <w:rsid w:val="00EA633B"/>
    <w:rPr>
      <w:rFonts w:ascii="Calibri" w:eastAsia="Calibri" w:hAnsi="Calibri" w:cs="Arial"/>
      <w:sz w:val="18"/>
      <w:szCs w:val="18"/>
      <w:vertAlign w:val="superscript"/>
      <w:lang w:val="en-CA"/>
    </w:rPr>
  </w:style>
  <w:style w:type="paragraph" w:customStyle="1" w:styleId="FootnoteReference1">
    <w:name w:val="Footnote Reference1"/>
    <w:basedOn w:val="FootnoteText"/>
    <w:link w:val="FootnoteReference"/>
    <w:autoRedefine/>
    <w:uiPriority w:val="99"/>
    <w:qFormat/>
    <w:rsid w:val="004D748A"/>
    <w:pPr>
      <w:tabs>
        <w:tab w:val="left" w:pos="270"/>
      </w:tabs>
      <w:ind w:left="270" w:hanging="270"/>
      <w:jc w:val="both"/>
    </w:pPr>
    <w:rPr>
      <w:rFonts w:ascii="Calibri" w:hAnsi="Calibri" w:cs="Arial"/>
      <w:sz w:val="18"/>
      <w:szCs w:val="18"/>
      <w:vertAlign w:val="superscript"/>
      <w:lang w:val="en-CA"/>
    </w:rPr>
  </w:style>
  <w:style w:type="character" w:customStyle="1" w:styleId="ListParagraphChar">
    <w:name w:val="List Paragraph Char"/>
    <w:aliases w:val="List Paragraph (numbered (a)) Char,Bullet 1 Char,Bullet Points Char,Dot pt Char,F5 List Paragraph Char,Indicator Text Char,Lapis Bulleted List Char,List Paragraph Char Char Char Char,List Paragraph1 Char,List Paragraph12 Char"/>
    <w:link w:val="ListParagraph"/>
    <w:uiPriority w:val="34"/>
    <w:qFormat/>
    <w:locked/>
    <w:rsid w:val="004D748A"/>
    <w:rPr>
      <w:rFonts w:ascii="Arial" w:eastAsia="Calibri" w:hAnsi="Arial" w:cs="Times New Roman"/>
      <w:lang w:val="en-GB"/>
    </w:rPr>
  </w:style>
  <w:style w:type="character" w:customStyle="1" w:styleId="normaltextrun">
    <w:name w:val="normaltextrun"/>
    <w:basedOn w:val="DefaultParagraphFont"/>
    <w:rsid w:val="00956B1F"/>
  </w:style>
  <w:style w:type="character" w:customStyle="1" w:styleId="eop">
    <w:name w:val="eop"/>
    <w:basedOn w:val="DefaultParagraphFont"/>
    <w:rsid w:val="00956B1F"/>
  </w:style>
  <w:style w:type="paragraph" w:customStyle="1" w:styleId="paragraph">
    <w:name w:val="paragraph"/>
    <w:basedOn w:val="Normal"/>
    <w:rsid w:val="00956B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53789"/>
    <w:pPr>
      <w:autoSpaceDE w:val="0"/>
      <w:autoSpaceDN w:val="0"/>
      <w:adjustRightInd w:val="0"/>
      <w:spacing w:after="0" w:line="240" w:lineRule="auto"/>
    </w:pPr>
    <w:rPr>
      <w:rFonts w:ascii="Arial Nova" w:hAnsi="Arial Nova" w:cs="Arial Nova"/>
      <w:color w:val="000000"/>
      <w:sz w:val="24"/>
      <w:szCs w:val="24"/>
    </w:rPr>
  </w:style>
  <w:style w:type="table" w:styleId="TableGrid">
    <w:name w:val="Table Grid"/>
    <w:basedOn w:val="TableNormal"/>
    <w:uiPriority w:val="39"/>
    <w:rsid w:val="00AA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2C05"/>
    <w:rPr>
      <w:sz w:val="16"/>
      <w:szCs w:val="16"/>
    </w:rPr>
  </w:style>
  <w:style w:type="paragraph" w:styleId="CommentText">
    <w:name w:val="annotation text"/>
    <w:basedOn w:val="Normal"/>
    <w:link w:val="CommentTextChar"/>
    <w:uiPriority w:val="99"/>
    <w:semiHidden/>
    <w:unhideWhenUsed/>
    <w:rsid w:val="003B2C05"/>
    <w:pPr>
      <w:spacing w:line="240" w:lineRule="auto"/>
    </w:pPr>
    <w:rPr>
      <w:sz w:val="20"/>
      <w:szCs w:val="20"/>
    </w:rPr>
  </w:style>
  <w:style w:type="character" w:customStyle="1" w:styleId="CommentTextChar">
    <w:name w:val="Comment Text Char"/>
    <w:basedOn w:val="DefaultParagraphFont"/>
    <w:link w:val="CommentText"/>
    <w:uiPriority w:val="99"/>
    <w:semiHidden/>
    <w:rsid w:val="003B2C05"/>
    <w:rPr>
      <w:sz w:val="20"/>
      <w:szCs w:val="20"/>
    </w:rPr>
  </w:style>
  <w:style w:type="paragraph" w:styleId="CommentSubject">
    <w:name w:val="annotation subject"/>
    <w:basedOn w:val="CommentText"/>
    <w:next w:val="CommentText"/>
    <w:link w:val="CommentSubjectChar"/>
    <w:uiPriority w:val="99"/>
    <w:semiHidden/>
    <w:unhideWhenUsed/>
    <w:rsid w:val="003B2C05"/>
    <w:rPr>
      <w:b/>
      <w:bCs/>
    </w:rPr>
  </w:style>
  <w:style w:type="character" w:customStyle="1" w:styleId="CommentSubjectChar">
    <w:name w:val="Comment Subject Char"/>
    <w:basedOn w:val="CommentTextChar"/>
    <w:link w:val="CommentSubject"/>
    <w:uiPriority w:val="99"/>
    <w:semiHidden/>
    <w:rsid w:val="003B2C05"/>
    <w:rPr>
      <w:b/>
      <w:bCs/>
      <w:sz w:val="20"/>
      <w:szCs w:val="20"/>
    </w:rPr>
  </w:style>
  <w:style w:type="paragraph" w:styleId="Header">
    <w:name w:val="header"/>
    <w:basedOn w:val="Normal"/>
    <w:link w:val="HeaderChar"/>
    <w:uiPriority w:val="99"/>
    <w:unhideWhenUsed/>
    <w:rsid w:val="00B21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912"/>
  </w:style>
  <w:style w:type="paragraph" w:styleId="Footer">
    <w:name w:val="footer"/>
    <w:basedOn w:val="Normal"/>
    <w:link w:val="FooterChar"/>
    <w:uiPriority w:val="99"/>
    <w:unhideWhenUsed/>
    <w:rsid w:val="00B21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6827">
      <w:bodyDiv w:val="1"/>
      <w:marLeft w:val="0"/>
      <w:marRight w:val="0"/>
      <w:marTop w:val="0"/>
      <w:marBottom w:val="0"/>
      <w:divBdr>
        <w:top w:val="none" w:sz="0" w:space="0" w:color="auto"/>
        <w:left w:val="none" w:sz="0" w:space="0" w:color="auto"/>
        <w:bottom w:val="none" w:sz="0" w:space="0" w:color="auto"/>
        <w:right w:val="none" w:sz="0" w:space="0" w:color="auto"/>
      </w:divBdr>
    </w:div>
    <w:div w:id="129640636">
      <w:bodyDiv w:val="1"/>
      <w:marLeft w:val="0"/>
      <w:marRight w:val="0"/>
      <w:marTop w:val="0"/>
      <w:marBottom w:val="0"/>
      <w:divBdr>
        <w:top w:val="none" w:sz="0" w:space="0" w:color="auto"/>
        <w:left w:val="none" w:sz="0" w:space="0" w:color="auto"/>
        <w:bottom w:val="none" w:sz="0" w:space="0" w:color="auto"/>
        <w:right w:val="none" w:sz="0" w:space="0" w:color="auto"/>
      </w:divBdr>
    </w:div>
    <w:div w:id="383599639">
      <w:bodyDiv w:val="1"/>
      <w:marLeft w:val="0"/>
      <w:marRight w:val="0"/>
      <w:marTop w:val="0"/>
      <w:marBottom w:val="0"/>
      <w:divBdr>
        <w:top w:val="none" w:sz="0" w:space="0" w:color="auto"/>
        <w:left w:val="none" w:sz="0" w:space="0" w:color="auto"/>
        <w:bottom w:val="none" w:sz="0" w:space="0" w:color="auto"/>
        <w:right w:val="none" w:sz="0" w:space="0" w:color="auto"/>
      </w:divBdr>
    </w:div>
    <w:div w:id="586227858">
      <w:bodyDiv w:val="1"/>
      <w:marLeft w:val="0"/>
      <w:marRight w:val="0"/>
      <w:marTop w:val="0"/>
      <w:marBottom w:val="0"/>
      <w:divBdr>
        <w:top w:val="none" w:sz="0" w:space="0" w:color="auto"/>
        <w:left w:val="none" w:sz="0" w:space="0" w:color="auto"/>
        <w:bottom w:val="none" w:sz="0" w:space="0" w:color="auto"/>
        <w:right w:val="none" w:sz="0" w:space="0" w:color="auto"/>
      </w:divBdr>
    </w:div>
    <w:div w:id="794829258">
      <w:bodyDiv w:val="1"/>
      <w:marLeft w:val="0"/>
      <w:marRight w:val="0"/>
      <w:marTop w:val="0"/>
      <w:marBottom w:val="0"/>
      <w:divBdr>
        <w:top w:val="none" w:sz="0" w:space="0" w:color="auto"/>
        <w:left w:val="none" w:sz="0" w:space="0" w:color="auto"/>
        <w:bottom w:val="none" w:sz="0" w:space="0" w:color="auto"/>
        <w:right w:val="none" w:sz="0" w:space="0" w:color="auto"/>
      </w:divBdr>
    </w:div>
    <w:div w:id="841506999">
      <w:bodyDiv w:val="1"/>
      <w:marLeft w:val="0"/>
      <w:marRight w:val="0"/>
      <w:marTop w:val="0"/>
      <w:marBottom w:val="0"/>
      <w:divBdr>
        <w:top w:val="none" w:sz="0" w:space="0" w:color="auto"/>
        <w:left w:val="none" w:sz="0" w:space="0" w:color="auto"/>
        <w:bottom w:val="none" w:sz="0" w:space="0" w:color="auto"/>
        <w:right w:val="none" w:sz="0" w:space="0" w:color="auto"/>
      </w:divBdr>
    </w:div>
    <w:div w:id="862205070">
      <w:bodyDiv w:val="1"/>
      <w:marLeft w:val="0"/>
      <w:marRight w:val="0"/>
      <w:marTop w:val="0"/>
      <w:marBottom w:val="0"/>
      <w:divBdr>
        <w:top w:val="none" w:sz="0" w:space="0" w:color="auto"/>
        <w:left w:val="none" w:sz="0" w:space="0" w:color="auto"/>
        <w:bottom w:val="none" w:sz="0" w:space="0" w:color="auto"/>
        <w:right w:val="none" w:sz="0" w:space="0" w:color="auto"/>
      </w:divBdr>
    </w:div>
    <w:div w:id="1177189175">
      <w:bodyDiv w:val="1"/>
      <w:marLeft w:val="0"/>
      <w:marRight w:val="0"/>
      <w:marTop w:val="0"/>
      <w:marBottom w:val="0"/>
      <w:divBdr>
        <w:top w:val="none" w:sz="0" w:space="0" w:color="auto"/>
        <w:left w:val="none" w:sz="0" w:space="0" w:color="auto"/>
        <w:bottom w:val="none" w:sz="0" w:space="0" w:color="auto"/>
        <w:right w:val="none" w:sz="0" w:space="0" w:color="auto"/>
      </w:divBdr>
    </w:div>
    <w:div w:id="1215235300">
      <w:bodyDiv w:val="1"/>
      <w:marLeft w:val="0"/>
      <w:marRight w:val="0"/>
      <w:marTop w:val="0"/>
      <w:marBottom w:val="0"/>
      <w:divBdr>
        <w:top w:val="none" w:sz="0" w:space="0" w:color="auto"/>
        <w:left w:val="none" w:sz="0" w:space="0" w:color="auto"/>
        <w:bottom w:val="none" w:sz="0" w:space="0" w:color="auto"/>
        <w:right w:val="none" w:sz="0" w:space="0" w:color="auto"/>
      </w:divBdr>
    </w:div>
    <w:div w:id="1257791379">
      <w:bodyDiv w:val="1"/>
      <w:marLeft w:val="0"/>
      <w:marRight w:val="0"/>
      <w:marTop w:val="0"/>
      <w:marBottom w:val="0"/>
      <w:divBdr>
        <w:top w:val="none" w:sz="0" w:space="0" w:color="auto"/>
        <w:left w:val="none" w:sz="0" w:space="0" w:color="auto"/>
        <w:bottom w:val="none" w:sz="0" w:space="0" w:color="auto"/>
        <w:right w:val="none" w:sz="0" w:space="0" w:color="auto"/>
      </w:divBdr>
    </w:div>
    <w:div w:id="1310402802">
      <w:bodyDiv w:val="1"/>
      <w:marLeft w:val="0"/>
      <w:marRight w:val="0"/>
      <w:marTop w:val="0"/>
      <w:marBottom w:val="0"/>
      <w:divBdr>
        <w:top w:val="none" w:sz="0" w:space="0" w:color="auto"/>
        <w:left w:val="none" w:sz="0" w:space="0" w:color="auto"/>
        <w:bottom w:val="none" w:sz="0" w:space="0" w:color="auto"/>
        <w:right w:val="none" w:sz="0" w:space="0" w:color="auto"/>
      </w:divBdr>
    </w:div>
    <w:div w:id="1454640349">
      <w:bodyDiv w:val="1"/>
      <w:marLeft w:val="0"/>
      <w:marRight w:val="0"/>
      <w:marTop w:val="0"/>
      <w:marBottom w:val="0"/>
      <w:divBdr>
        <w:top w:val="none" w:sz="0" w:space="0" w:color="auto"/>
        <w:left w:val="none" w:sz="0" w:space="0" w:color="auto"/>
        <w:bottom w:val="none" w:sz="0" w:space="0" w:color="auto"/>
        <w:right w:val="none" w:sz="0" w:space="0" w:color="auto"/>
      </w:divBdr>
    </w:div>
    <w:div w:id="1710107192">
      <w:bodyDiv w:val="1"/>
      <w:marLeft w:val="0"/>
      <w:marRight w:val="0"/>
      <w:marTop w:val="0"/>
      <w:marBottom w:val="0"/>
      <w:divBdr>
        <w:top w:val="none" w:sz="0" w:space="0" w:color="auto"/>
        <w:left w:val="none" w:sz="0" w:space="0" w:color="auto"/>
        <w:bottom w:val="none" w:sz="0" w:space="0" w:color="auto"/>
        <w:right w:val="none" w:sz="0" w:space="0" w:color="auto"/>
      </w:divBdr>
    </w:div>
    <w:div w:id="2095736389">
      <w:bodyDiv w:val="1"/>
      <w:marLeft w:val="0"/>
      <w:marRight w:val="0"/>
      <w:marTop w:val="0"/>
      <w:marBottom w:val="0"/>
      <w:divBdr>
        <w:top w:val="none" w:sz="0" w:space="0" w:color="auto"/>
        <w:left w:val="none" w:sz="0" w:space="0" w:color="auto"/>
        <w:bottom w:val="none" w:sz="0" w:space="0" w:color="auto"/>
        <w:right w:val="none" w:sz="0" w:space="0" w:color="auto"/>
      </w:divBdr>
    </w:div>
    <w:div w:id="2098207639">
      <w:bodyDiv w:val="1"/>
      <w:marLeft w:val="0"/>
      <w:marRight w:val="0"/>
      <w:marTop w:val="0"/>
      <w:marBottom w:val="0"/>
      <w:divBdr>
        <w:top w:val="none" w:sz="0" w:space="0" w:color="auto"/>
        <w:left w:val="none" w:sz="0" w:space="0" w:color="auto"/>
        <w:bottom w:val="none" w:sz="0" w:space="0" w:color="auto"/>
        <w:right w:val="none" w:sz="0" w:space="0" w:color="auto"/>
      </w:divBdr>
    </w:div>
    <w:div w:id="2115439801">
      <w:bodyDiv w:val="1"/>
      <w:marLeft w:val="0"/>
      <w:marRight w:val="0"/>
      <w:marTop w:val="0"/>
      <w:marBottom w:val="0"/>
      <w:divBdr>
        <w:top w:val="none" w:sz="0" w:space="0" w:color="auto"/>
        <w:left w:val="none" w:sz="0" w:space="0" w:color="auto"/>
        <w:bottom w:val="none" w:sz="0" w:space="0" w:color="auto"/>
        <w:right w:val="none" w:sz="0" w:space="0" w:color="auto"/>
      </w:divBdr>
      <w:divsChild>
        <w:div w:id="460077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women.org/en/digital-library/publications/2017/8/un-women-strategic-plan-2018-2021" TargetMode="External"/><Relationship Id="rId18" Type="http://schemas.openxmlformats.org/officeDocument/2006/relationships/hyperlink" Target="https://www.unwomen.org/-/media/headquarters/attachments/sections/about%20us/employment/un-women-values-and-competencies-framework-en.pdf?la=en&amp;vs=637"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md.one.un.org/content/dam/unct/moldova/docs/pub/strateg/UNDAF%20Moldova%20EN.pdf" TargetMode="External"/><Relationship Id="rId17" Type="http://schemas.openxmlformats.org/officeDocument/2006/relationships/hyperlink" Target="http://www.unevaluation.org/document/detail/102" TargetMode="External"/><Relationship Id="rId2" Type="http://schemas.openxmlformats.org/officeDocument/2006/relationships/customXml" Target="../customXml/item2.xml"/><Relationship Id="rId16" Type="http://schemas.openxmlformats.org/officeDocument/2006/relationships/hyperlink" Target="http://www.unevaluation.org/document/detail/1914" TargetMode="External"/><Relationship Id="rId20" Type="http://schemas.openxmlformats.org/officeDocument/2006/relationships/hyperlink" Target="https://www.unwomen.org/en/about-us/employ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oldova.unwomen.org/en/biblioteca-digitala/publicatii/2018/03/strategic-note-summary"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nwomen.org/en/digital-library/publications/2017/8/un-women-strategic-plan-2018-202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c.undp.md/current_jobs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women.org/en/digital-library/publications/2012/10/evaluation-policy-of-the-united-nations-entity-for-gender-equality-and-the-empowerment-of-wome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7356BEBC12C7B47BDED6EA3FC0C2CCA" ma:contentTypeVersion="13" ma:contentTypeDescription="Create a new document." ma:contentTypeScope="" ma:versionID="c1b340441f366c5ffc62d2edcdb1a5a3">
  <xsd:schema xmlns:xsd="http://www.w3.org/2001/XMLSchema" xmlns:xs="http://www.w3.org/2001/XMLSchema" xmlns:p="http://schemas.microsoft.com/office/2006/metadata/properties" xmlns:ns2="02760e0d-a93f-43eb-8b0f-5ad7e450f797" xmlns:ns3="baebb7ee-2ec0-4cc9-942c-fd04cc55e912" targetNamespace="http://schemas.microsoft.com/office/2006/metadata/properties" ma:root="true" ma:fieldsID="f2394ee40b548b01af5a1e2183e4a5e6" ns2:_="" ns3:_="">
    <xsd:import namespace="02760e0d-a93f-43eb-8b0f-5ad7e450f797"/>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60e0d-a93f-43eb-8b0f-5ad7e450f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AAB585-9AF0-4E6C-A253-0EC9D234DE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31F6DE-ADE7-42FD-9DCD-26DB3A2AC416}">
  <ds:schemaRefs>
    <ds:schemaRef ds:uri="http://schemas.microsoft.com/sharepoint/v3/contenttype/forms"/>
  </ds:schemaRefs>
</ds:datastoreItem>
</file>

<file path=customXml/itemProps3.xml><?xml version="1.0" encoding="utf-8"?>
<ds:datastoreItem xmlns:ds="http://schemas.openxmlformats.org/officeDocument/2006/customXml" ds:itemID="{67C72B4F-A46F-4B39-A2EE-CD1461DE7668}">
  <ds:schemaRefs>
    <ds:schemaRef ds:uri="http://schemas.openxmlformats.org/officeDocument/2006/bibliography"/>
  </ds:schemaRefs>
</ds:datastoreItem>
</file>

<file path=customXml/itemProps4.xml><?xml version="1.0" encoding="utf-8"?>
<ds:datastoreItem xmlns:ds="http://schemas.openxmlformats.org/officeDocument/2006/customXml" ds:itemID="{DC6A43C9-EAC9-4042-9523-6F3E7C07C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60e0d-a93f-43eb-8b0f-5ad7e450f797"/>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2746</Words>
  <Characters>15653</Characters>
  <Application>Microsoft Office Word</Application>
  <DocSecurity>0</DocSecurity>
  <Lines>130</Lines>
  <Paragraphs>36</Paragraphs>
  <ScaleCrop>false</ScaleCrop>
  <Company/>
  <LinksUpToDate>false</LinksUpToDate>
  <CharactersWithSpaces>18363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Lucretia CIUREA</dc:creator>
  <cp:keywords/>
  <dc:description/>
  <cp:lastModifiedBy>Olga Munteanu</cp:lastModifiedBy>
  <cp:revision>18</cp:revision>
  <dcterms:created xsi:type="dcterms:W3CDTF">2021-07-27T11:23:00Z</dcterms:created>
  <dcterms:modified xsi:type="dcterms:W3CDTF">2021-07-28T10:53:00Z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0x01010097356BEBC12C7B47BDED6EA3FC0C2CCA</vt:lpwstr>
  </property>
</Properties>
</file>