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F1B0" w14:textId="77777777" w:rsidR="00F25C46" w:rsidRPr="00544A8A" w:rsidRDefault="00F25C46" w:rsidP="00F25C46">
      <w:pPr>
        <w:jc w:val="center"/>
        <w:textAlignment w:val="baseline"/>
        <w:rPr>
          <w:rFonts w:ascii="Segoe UI" w:eastAsia="Times New Roman" w:hAnsi="Segoe UI" w:cs="Segoe UI"/>
          <w:sz w:val="22"/>
          <w:szCs w:val="22"/>
        </w:rPr>
      </w:pPr>
      <w:r w:rsidRPr="00544A8A">
        <w:rPr>
          <w:rFonts w:ascii="Calibri" w:eastAsia="Times New Roman" w:hAnsi="Calibri" w:cs="Calibri"/>
          <w:b/>
          <w:bCs/>
          <w:sz w:val="22"/>
          <w:szCs w:val="22"/>
        </w:rPr>
        <w:t>Annex I:</w:t>
      </w:r>
      <w:r w:rsidRPr="00544A8A">
        <w:rPr>
          <w:rFonts w:ascii="Calibri" w:eastAsia="Times New Roman" w:hAnsi="Calibri" w:cs="Calibri"/>
          <w:sz w:val="22"/>
          <w:szCs w:val="22"/>
        </w:rPr>
        <w:t> </w:t>
      </w:r>
    </w:p>
    <w:p w14:paraId="561CD037" w14:textId="77777777" w:rsidR="00F25C46" w:rsidRPr="00544A8A" w:rsidRDefault="00F25C46" w:rsidP="00F25C46">
      <w:pPr>
        <w:textAlignment w:val="baseline"/>
        <w:rPr>
          <w:rFonts w:ascii="Segoe UI" w:eastAsia="Times New Roman" w:hAnsi="Segoe UI" w:cs="Segoe UI"/>
          <w:color w:val="323E4F"/>
          <w:sz w:val="22"/>
          <w:szCs w:val="22"/>
        </w:rPr>
      </w:pPr>
      <w:r w:rsidRPr="00544A8A">
        <w:rPr>
          <w:rFonts w:ascii="Calibri" w:eastAsia="Times New Roman" w:hAnsi="Calibri" w:cs="Calibri"/>
          <w:color w:val="323E4F"/>
          <w:sz w:val="22"/>
          <w:szCs w:val="22"/>
        </w:rPr>
        <w:t> </w:t>
      </w:r>
    </w:p>
    <w:p w14:paraId="2A6CC1AC" w14:textId="77777777" w:rsidR="00F25C46" w:rsidRPr="00544A8A" w:rsidRDefault="00F25C46" w:rsidP="00F25C46">
      <w:pPr>
        <w:textAlignment w:val="baseline"/>
        <w:rPr>
          <w:rFonts w:ascii="Segoe UI" w:eastAsia="Times New Roman" w:hAnsi="Segoe UI" w:cs="Segoe UI"/>
          <w:color w:val="323E4F"/>
          <w:sz w:val="22"/>
          <w:szCs w:val="22"/>
        </w:rPr>
      </w:pPr>
      <w:r w:rsidRPr="00544A8A">
        <w:rPr>
          <w:rFonts w:ascii="Calibri" w:eastAsia="Times New Roman" w:hAnsi="Calibri" w:cs="Calibri"/>
          <w:color w:val="323E4F"/>
          <w:sz w:val="22"/>
          <w:szCs w:val="22"/>
        </w:rPr>
        <w:t>Price Proposal Guideline and Template </w:t>
      </w:r>
    </w:p>
    <w:p w14:paraId="294EA858" w14:textId="77777777" w:rsidR="00F25C46" w:rsidRPr="00544A8A" w:rsidRDefault="00F25C46" w:rsidP="00F25C46">
      <w:pPr>
        <w:textAlignment w:val="baseline"/>
        <w:rPr>
          <w:rFonts w:ascii="Segoe UI" w:eastAsia="Times New Roman" w:hAnsi="Segoe UI" w:cs="Segoe UI"/>
          <w:color w:val="323E4F"/>
          <w:sz w:val="22"/>
          <w:szCs w:val="22"/>
        </w:rPr>
      </w:pPr>
      <w:r w:rsidRPr="00544A8A">
        <w:rPr>
          <w:rFonts w:ascii="Calibri" w:eastAsia="Times New Roman" w:hAnsi="Calibri" w:cs="Calibri"/>
          <w:color w:val="323E4F"/>
          <w:sz w:val="22"/>
          <w:szCs w:val="22"/>
        </w:rPr>
        <w:t> </w:t>
      </w:r>
    </w:p>
    <w:p w14:paraId="499D0F09" w14:textId="77777777" w:rsidR="00F25C46" w:rsidRPr="00544A8A" w:rsidRDefault="00F25C46" w:rsidP="00F25C46">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The prospective Individual Consultant should take the following explanations into account during submission of his/her price proposal.  </w:t>
      </w:r>
    </w:p>
    <w:p w14:paraId="2956A8A8" w14:textId="77777777" w:rsidR="00F25C46" w:rsidRPr="00544A8A" w:rsidRDefault="00F25C46" w:rsidP="00F25C46">
      <w:pPr>
        <w:numPr>
          <w:ilvl w:val="0"/>
          <w:numId w:val="1"/>
        </w:numPr>
        <w:ind w:left="1080" w:firstLine="0"/>
        <w:textAlignment w:val="baseline"/>
        <w:rPr>
          <w:rFonts w:ascii="Calibri" w:eastAsia="Times New Roman" w:hAnsi="Calibri" w:cs="Calibri"/>
          <w:color w:val="2E74B5"/>
          <w:sz w:val="22"/>
          <w:szCs w:val="22"/>
        </w:rPr>
      </w:pPr>
      <w:r w:rsidRPr="00544A8A">
        <w:rPr>
          <w:rFonts w:ascii="Calibri" w:eastAsia="Times New Roman" w:hAnsi="Calibri" w:cs="Calibri"/>
          <w:b/>
          <w:bCs/>
          <w:sz w:val="22"/>
          <w:szCs w:val="22"/>
        </w:rPr>
        <w:t>Lump Sum Amount</w:t>
      </w:r>
      <w:r w:rsidRPr="00544A8A">
        <w:rPr>
          <w:rFonts w:ascii="Calibri" w:eastAsia="Times New Roman" w:hAnsi="Calibri" w:cs="Calibri"/>
          <w:sz w:val="22"/>
          <w:szCs w:val="22"/>
        </w:rPr>
        <w:t> </w:t>
      </w:r>
    </w:p>
    <w:p w14:paraId="7C910D71" w14:textId="77777777" w:rsidR="00F25C46" w:rsidRPr="00544A8A" w:rsidRDefault="00F25C46" w:rsidP="00F25C46">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The price proposal should indicate a "lump sum amount" which is "all-inclusive"; All costs (professional fees, living allowances, communications, consumables during field related missions, etc.) that could possibly be incurred by the Contractor needs to be factored into the proposed price.  </w:t>
      </w:r>
    </w:p>
    <w:p w14:paraId="63BDB524" w14:textId="77777777" w:rsidR="00F25C46" w:rsidRPr="00544A8A" w:rsidRDefault="00F25C46" w:rsidP="00F25C46">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xml:space="preserve">UN Women will not withhold any amount of the payments for tax and/or social security related payments. UN Women shall have no liability for taxes, </w:t>
      </w:r>
      <w:proofErr w:type="gramStart"/>
      <w:r w:rsidRPr="00544A8A">
        <w:rPr>
          <w:rFonts w:ascii="Calibri" w:eastAsia="Times New Roman" w:hAnsi="Calibri" w:cs="Calibri"/>
          <w:sz w:val="22"/>
          <w:szCs w:val="22"/>
        </w:rPr>
        <w:t>duties</w:t>
      </w:r>
      <w:proofErr w:type="gramEnd"/>
      <w:r w:rsidRPr="00544A8A">
        <w:rPr>
          <w:rFonts w:ascii="Calibri" w:eastAsia="Times New Roman" w:hAnsi="Calibri" w:cs="Calibri"/>
          <w:sz w:val="22"/>
          <w:szCs w:val="22"/>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 </w:t>
      </w:r>
    </w:p>
    <w:p w14:paraId="7FDB011D" w14:textId="77777777" w:rsidR="00F25C46" w:rsidRPr="00544A8A" w:rsidRDefault="00F25C46" w:rsidP="00F25C46">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Contract price is fixed to activities/deliverables indicated in the TOR, regardless of the changes in the cost components (such as das invested for completion of the deliverables). </w:t>
      </w:r>
    </w:p>
    <w:p w14:paraId="0FC6A9FA" w14:textId="77777777" w:rsidR="00F25C46" w:rsidRPr="00544A8A" w:rsidRDefault="00F25C46" w:rsidP="00F25C46">
      <w:pPr>
        <w:numPr>
          <w:ilvl w:val="0"/>
          <w:numId w:val="2"/>
        </w:numPr>
        <w:ind w:left="1080" w:firstLine="0"/>
        <w:textAlignment w:val="baseline"/>
        <w:rPr>
          <w:rFonts w:ascii="Calibri" w:eastAsia="Times New Roman" w:hAnsi="Calibri" w:cs="Calibri"/>
          <w:color w:val="2E74B5"/>
          <w:sz w:val="22"/>
          <w:szCs w:val="22"/>
        </w:rPr>
      </w:pPr>
      <w:r w:rsidRPr="00544A8A">
        <w:rPr>
          <w:rFonts w:ascii="Calibri" w:eastAsia="Times New Roman" w:hAnsi="Calibri" w:cs="Calibri"/>
          <w:b/>
          <w:bCs/>
          <w:sz w:val="22"/>
          <w:szCs w:val="22"/>
        </w:rPr>
        <w:t>Travel costs</w:t>
      </w:r>
      <w:r w:rsidRPr="00544A8A">
        <w:rPr>
          <w:rFonts w:ascii="Calibri" w:eastAsia="Times New Roman" w:hAnsi="Calibri" w:cs="Calibri"/>
          <w:sz w:val="22"/>
          <w:szCs w:val="22"/>
        </w:rPr>
        <w:t> </w:t>
      </w:r>
    </w:p>
    <w:p w14:paraId="537399C9" w14:textId="77777777" w:rsidR="00F25C46" w:rsidRPr="00544A8A" w:rsidRDefault="00F25C46" w:rsidP="00F25C46">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u w:val="single"/>
        </w:rPr>
        <w:t>All envisaged travel costs must be included in the financial proposal</w:t>
      </w:r>
      <w:r w:rsidRPr="00544A8A">
        <w:rPr>
          <w:rFonts w:ascii="Calibri" w:eastAsia="Times New Roman" w:hAnsi="Calibri" w:cs="Calibri"/>
          <w:sz w:val="22"/>
          <w:szCs w:val="22"/>
        </w:rPr>
        <w:t>. This includes all travel to join duty station/repatriation travel.  In general, UN Women should not accept travel costs exceeding those of an economy class ticket. Should the contractor wish to travel on a higher class he/she should do so using their own resources. </w:t>
      </w:r>
    </w:p>
    <w:p w14:paraId="14DF962E" w14:textId="77777777" w:rsidR="00F25C46" w:rsidRPr="00544A8A" w:rsidRDefault="00F25C46" w:rsidP="00F25C46">
      <w:pPr>
        <w:numPr>
          <w:ilvl w:val="0"/>
          <w:numId w:val="3"/>
        </w:numPr>
        <w:ind w:left="1080" w:firstLine="0"/>
        <w:textAlignment w:val="baseline"/>
        <w:rPr>
          <w:rFonts w:ascii="Calibri" w:eastAsia="Times New Roman" w:hAnsi="Calibri" w:cs="Calibri"/>
          <w:color w:val="2E74B5"/>
          <w:sz w:val="22"/>
          <w:szCs w:val="22"/>
        </w:rPr>
      </w:pPr>
      <w:r w:rsidRPr="00544A8A">
        <w:rPr>
          <w:rFonts w:ascii="Calibri" w:eastAsia="Times New Roman" w:hAnsi="Calibri" w:cs="Calibri"/>
          <w:b/>
          <w:bCs/>
          <w:sz w:val="22"/>
          <w:szCs w:val="22"/>
        </w:rPr>
        <w:t>Daily Subsistence Allowance</w:t>
      </w:r>
      <w:r w:rsidRPr="00544A8A">
        <w:rPr>
          <w:rFonts w:ascii="Calibri" w:eastAsia="Times New Roman" w:hAnsi="Calibri" w:cs="Calibri"/>
          <w:sz w:val="22"/>
          <w:szCs w:val="22"/>
        </w:rPr>
        <w:t> </w:t>
      </w:r>
    </w:p>
    <w:p w14:paraId="6091143D" w14:textId="77777777" w:rsidR="00F25C46" w:rsidRPr="00544A8A" w:rsidRDefault="00F25C46" w:rsidP="00F25C46">
      <w:pPr>
        <w:ind w:right="795"/>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Not applicable. </w:t>
      </w:r>
    </w:p>
    <w:p w14:paraId="38C24479" w14:textId="77777777" w:rsidR="00F25C46" w:rsidRPr="00544A8A" w:rsidRDefault="00F25C46" w:rsidP="00F25C46">
      <w:pPr>
        <w:numPr>
          <w:ilvl w:val="0"/>
          <w:numId w:val="4"/>
        </w:numPr>
        <w:ind w:left="1080" w:firstLine="0"/>
        <w:textAlignment w:val="baseline"/>
        <w:rPr>
          <w:rFonts w:ascii="Calibri" w:eastAsia="Times New Roman" w:hAnsi="Calibri" w:cs="Calibri"/>
          <w:color w:val="2E74B5"/>
          <w:sz w:val="22"/>
          <w:szCs w:val="22"/>
        </w:rPr>
      </w:pPr>
      <w:r w:rsidRPr="00544A8A">
        <w:rPr>
          <w:rFonts w:ascii="Calibri" w:eastAsia="Times New Roman" w:hAnsi="Calibri" w:cs="Calibri"/>
          <w:b/>
          <w:bCs/>
          <w:sz w:val="22"/>
          <w:szCs w:val="22"/>
        </w:rPr>
        <w:t>Currency of the price proposal </w:t>
      </w:r>
      <w:r w:rsidRPr="00544A8A">
        <w:rPr>
          <w:rFonts w:ascii="Calibri" w:eastAsia="Times New Roman" w:hAnsi="Calibri" w:cs="Calibri"/>
          <w:sz w:val="22"/>
          <w:szCs w:val="22"/>
        </w:rPr>
        <w:t> </w:t>
      </w:r>
    </w:p>
    <w:p w14:paraId="0FC9A768" w14:textId="77777777" w:rsidR="00F25C46" w:rsidRPr="00544A8A" w:rsidRDefault="00F25C46" w:rsidP="00F25C46">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The applicants are requested to submit their price proposals in MDL. In case of proposals in other currency, these shall be converted into MDL using the official UN exchange rate for currency conversion to MDL at the date of applications’ submission deadline</w:t>
      </w:r>
      <w:r w:rsidRPr="00544A8A">
        <w:rPr>
          <w:rFonts w:ascii="Calibri" w:eastAsia="Times New Roman" w:hAnsi="Calibri" w:cs="Calibri"/>
          <w:color w:val="000000"/>
          <w:sz w:val="22"/>
          <w:szCs w:val="22"/>
        </w:rPr>
        <w:t>. </w:t>
      </w:r>
    </w:p>
    <w:p w14:paraId="263CB14A" w14:textId="77777777" w:rsidR="00761A01" w:rsidRDefault="00761A01"/>
    <w:sectPr w:rsidR="00761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035"/>
    <w:multiLevelType w:val="multilevel"/>
    <w:tmpl w:val="DA80F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47D5C"/>
    <w:multiLevelType w:val="multilevel"/>
    <w:tmpl w:val="2CAE9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91DEE"/>
    <w:multiLevelType w:val="multilevel"/>
    <w:tmpl w:val="BA3A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05131C"/>
    <w:multiLevelType w:val="multilevel"/>
    <w:tmpl w:val="AECA1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963166">
    <w:abstractNumId w:val="2"/>
  </w:num>
  <w:num w:numId="2" w16cid:durableId="976569049">
    <w:abstractNumId w:val="3"/>
  </w:num>
  <w:num w:numId="3" w16cid:durableId="873931074">
    <w:abstractNumId w:val="1"/>
  </w:num>
  <w:num w:numId="4" w16cid:durableId="50116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46"/>
    <w:rsid w:val="00761A01"/>
    <w:rsid w:val="00F2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FE7B"/>
  <w15:chartTrackingRefBased/>
  <w15:docId w15:val="{23E1C316-2D1C-4606-89FE-77C6ED3C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C4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Dormenco</dc:creator>
  <cp:keywords/>
  <dc:description/>
  <cp:lastModifiedBy>Tatiana Dormenco</cp:lastModifiedBy>
  <cp:revision>1</cp:revision>
  <dcterms:created xsi:type="dcterms:W3CDTF">2023-06-01T11:08:00Z</dcterms:created>
  <dcterms:modified xsi:type="dcterms:W3CDTF">2023-06-01T11:09:00Z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3c363865-0562-48df-9d7c-1d45ae6d02b2</vt:lpwstr>
  </property>
</Properties>
</file>