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8A15CD" w:rsidRPr="008A15CD" w14:paraId="2E89B979" w14:textId="77777777" w:rsidTr="008A15CD">
        <w:tc>
          <w:tcPr>
            <w:tcW w:w="3085" w:type="dxa"/>
            <w:vAlign w:val="center"/>
          </w:tcPr>
          <w:p w14:paraId="46732477" w14:textId="77777777" w:rsidR="000004D1" w:rsidRPr="008A15CD" w:rsidRDefault="000004D1" w:rsidP="000004D1">
            <w:pPr>
              <w:spacing w:after="60"/>
              <w:rPr>
                <w:rFonts w:asciiTheme="majorBidi" w:hAnsiTheme="majorBidi" w:cstheme="majorBidi"/>
                <w:noProof/>
                <w:lang w:eastAsia="en-GB"/>
              </w:rPr>
            </w:pPr>
            <w:r w:rsidRPr="008A15CD">
              <w:rPr>
                <w:rFonts w:asciiTheme="majorBidi" w:hAnsiTheme="majorBidi" w:cstheme="majorBidi"/>
                <w:noProof/>
                <w:lang w:eastAsia="zh-CN"/>
              </w:rPr>
              <w:drawing>
                <wp:inline distT="0" distB="0" distL="0" distR="0" wp14:anchorId="0D2ED8E3" wp14:editId="5943320A">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6157" w:type="dxa"/>
            <w:vAlign w:val="center"/>
          </w:tcPr>
          <w:p w14:paraId="4A4AB189" w14:textId="2EDBEB86" w:rsidR="000004D1" w:rsidRPr="008A15CD" w:rsidRDefault="000004D1" w:rsidP="000004D1">
            <w:pPr>
              <w:spacing w:after="60"/>
              <w:rPr>
                <w:rFonts w:cstheme="minorHAnsi"/>
                <w:b/>
                <w:bCs/>
                <w:noProof/>
                <w:sz w:val="36"/>
                <w:szCs w:val="36"/>
                <w:lang w:eastAsia="en-GB"/>
              </w:rPr>
            </w:pPr>
          </w:p>
        </w:tc>
      </w:tr>
    </w:tbl>
    <w:p w14:paraId="749D3597" w14:textId="77777777" w:rsidR="000004D1" w:rsidRPr="008A15CD" w:rsidRDefault="000004D1" w:rsidP="000004D1">
      <w:pPr>
        <w:spacing w:after="60" w:line="240" w:lineRule="auto"/>
        <w:jc w:val="center"/>
        <w:rPr>
          <w:b/>
          <w:bCs/>
          <w:sz w:val="16"/>
          <w:szCs w:val="16"/>
        </w:rPr>
      </w:pPr>
    </w:p>
    <w:p w14:paraId="4E1DCB81" w14:textId="77777777"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6814F232" w14:textId="77777777" w:rsidR="00C05E37" w:rsidRPr="008A15CD" w:rsidRDefault="00C05E37" w:rsidP="00C05E37">
      <w:pPr>
        <w:spacing w:after="60" w:line="240" w:lineRule="auto"/>
        <w:jc w:val="center"/>
        <w:rPr>
          <w:rFonts w:eastAsia="MS Gothic" w:cstheme="minorHAnsi"/>
        </w:rPr>
      </w:pPr>
    </w:p>
    <w:p w14:paraId="01878A30" w14:textId="77777777" w:rsidR="000004D1" w:rsidRPr="008A15CD" w:rsidRDefault="00B13252" w:rsidP="00CF48C5">
      <w:pPr>
        <w:pStyle w:val="ListParagraph"/>
        <w:numPr>
          <w:ilvl w:val="0"/>
          <w:numId w:val="1"/>
        </w:numPr>
        <w:spacing w:after="60" w:line="240" w:lineRule="auto"/>
        <w:rPr>
          <w:rFonts w:cstheme="minorHAnsi"/>
          <w:b/>
          <w:bCs/>
        </w:rPr>
      </w:pPr>
      <w:r w:rsidRPr="008A15CD">
        <w:rPr>
          <w:rFonts w:cstheme="minorHAnsi"/>
          <w:b/>
          <w:bCs/>
        </w:rPr>
        <w:t>*</w:t>
      </w:r>
      <w:r w:rsidR="00CF48C5">
        <w:rPr>
          <w:rFonts w:cstheme="minorHAnsi"/>
          <w:b/>
          <w:bCs/>
        </w:rPr>
        <w:t>Purpose</w:t>
      </w:r>
      <w:r w:rsidR="00DD12DB" w:rsidRPr="008A15CD">
        <w:rPr>
          <w:rFonts w:cstheme="minorHAnsi"/>
          <w:b/>
          <w:bCs/>
        </w:rPr>
        <w:t xml:space="preserve"> of the </w:t>
      </w:r>
      <w:r w:rsidR="002C1915" w:rsidRPr="008A15CD">
        <w:rPr>
          <w:rFonts w:cstheme="minorHAnsi"/>
          <w:b/>
          <w:bCs/>
        </w:rPr>
        <w:t>APW</w:t>
      </w:r>
    </w:p>
    <w:p w14:paraId="63013169" w14:textId="1501EAB3" w:rsidR="000004D1" w:rsidRPr="00A3608D" w:rsidRDefault="00F27A0B" w:rsidP="00551A49">
      <w:pPr>
        <w:spacing w:after="0"/>
        <w:ind w:left="28"/>
        <w:jc w:val="both"/>
        <w:rPr>
          <w:rFonts w:cstheme="minorHAnsi"/>
        </w:rPr>
      </w:pPr>
      <w:r>
        <w:rPr>
          <w:rFonts w:cstheme="minorHAnsi"/>
        </w:rPr>
        <w:t>Procurement of the laboratory consumables</w:t>
      </w:r>
      <w:r w:rsidR="00CA2FB8">
        <w:rPr>
          <w:rFonts w:cstheme="minorHAnsi"/>
        </w:rPr>
        <w:t xml:space="preserve">, </w:t>
      </w:r>
      <w:proofErr w:type="gramStart"/>
      <w:r>
        <w:rPr>
          <w:rFonts w:cstheme="minorHAnsi"/>
        </w:rPr>
        <w:t>reagents</w:t>
      </w:r>
      <w:proofErr w:type="gramEnd"/>
      <w:r w:rsidR="00CA2FB8">
        <w:rPr>
          <w:rFonts w:cstheme="minorHAnsi"/>
        </w:rPr>
        <w:t xml:space="preserve"> and devices</w:t>
      </w:r>
      <w:r>
        <w:rPr>
          <w:rFonts w:cstheme="minorHAnsi"/>
        </w:rPr>
        <w:t xml:space="preserve"> for </w:t>
      </w:r>
      <w:r w:rsidR="00551A49">
        <w:rPr>
          <w:rFonts w:cstheme="minorHAnsi"/>
        </w:rPr>
        <w:t xml:space="preserve">improving the laboratory capacities to respond the ongoing </w:t>
      </w:r>
      <w:r>
        <w:rPr>
          <w:rFonts w:cstheme="minorHAnsi"/>
        </w:rPr>
        <w:t xml:space="preserve">COVID-19 </w:t>
      </w:r>
      <w:r w:rsidR="00551A49">
        <w:rPr>
          <w:rFonts w:cstheme="minorHAnsi"/>
        </w:rPr>
        <w:t xml:space="preserve">emergency and </w:t>
      </w:r>
      <w:r>
        <w:rPr>
          <w:rFonts w:cstheme="minorHAnsi"/>
        </w:rPr>
        <w:t xml:space="preserve">Ukrainian refugee influx </w:t>
      </w:r>
      <w:r w:rsidR="00551A49">
        <w:rPr>
          <w:rFonts w:cstheme="minorHAnsi"/>
        </w:rPr>
        <w:t xml:space="preserve">emergency </w:t>
      </w:r>
      <w:r>
        <w:rPr>
          <w:rFonts w:cstheme="minorHAnsi"/>
        </w:rPr>
        <w:t>in the Republic of Moldova</w:t>
      </w:r>
      <w:r w:rsidR="0070441F">
        <w:rPr>
          <w:rFonts w:cstheme="minorHAnsi"/>
        </w:rPr>
        <w:t xml:space="preserve">. </w:t>
      </w:r>
      <w:r w:rsidR="0075541B" w:rsidRPr="00A3608D">
        <w:rPr>
          <w:rFonts w:cstheme="minorHAnsi"/>
        </w:rPr>
        <w:t xml:space="preserve"> </w:t>
      </w:r>
    </w:p>
    <w:p w14:paraId="749B532A" w14:textId="77777777" w:rsidR="0075541B" w:rsidRPr="0075541B" w:rsidRDefault="0075541B" w:rsidP="0075541B">
      <w:pPr>
        <w:spacing w:after="0"/>
        <w:ind w:left="28"/>
        <w:rPr>
          <w:rFonts w:cstheme="minorHAnsi"/>
          <w:sz w:val="20"/>
          <w:szCs w:val="20"/>
        </w:rPr>
      </w:pPr>
    </w:p>
    <w:p w14:paraId="3FD17797"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DD12DB" w:rsidRPr="008A15CD">
        <w:rPr>
          <w:rFonts w:cstheme="minorHAnsi"/>
          <w:b/>
          <w:bCs/>
        </w:rPr>
        <w:t>Background</w:t>
      </w:r>
    </w:p>
    <w:p w14:paraId="05F54846" w14:textId="0625CE2E" w:rsidR="00795E97" w:rsidRDefault="00E41F97" w:rsidP="00E41F97">
      <w:pPr>
        <w:spacing w:after="60" w:line="240" w:lineRule="auto"/>
        <w:jc w:val="both"/>
        <w:rPr>
          <w:rFonts w:cs="Arial"/>
        </w:rPr>
      </w:pPr>
      <w:r>
        <w:rPr>
          <w:color w:val="000000"/>
          <w:shd w:val="clear" w:color="auto" w:fill="FFFFFF"/>
        </w:rPr>
        <w:t xml:space="preserve">The Ministry of Health of the </w:t>
      </w:r>
      <w:r w:rsidR="00C811A1" w:rsidRPr="00C811A1">
        <w:rPr>
          <w:color w:val="000000"/>
          <w:shd w:val="clear" w:color="auto" w:fill="FFFFFF"/>
        </w:rPr>
        <w:t>Republic of Moldov</w:t>
      </w:r>
      <w:r>
        <w:rPr>
          <w:color w:val="000000"/>
          <w:shd w:val="clear" w:color="auto" w:fill="FFFFFF"/>
        </w:rPr>
        <w:t>a has been working to manage the COVID-19 pandemic emergency associated with another</w:t>
      </w:r>
      <w:r w:rsidR="000D0803">
        <w:rPr>
          <w:color w:val="000000"/>
          <w:shd w:val="clear" w:color="auto" w:fill="FFFFFF"/>
        </w:rPr>
        <w:t>,</w:t>
      </w:r>
      <w:r>
        <w:rPr>
          <w:color w:val="000000"/>
          <w:shd w:val="clear" w:color="auto" w:fill="FFFFFF"/>
        </w:rPr>
        <w:t xml:space="preserve"> Ukrainian refugee influx emergency. While the COVID-19 epidemiologica</w:t>
      </w:r>
      <w:r w:rsidR="000D0803">
        <w:rPr>
          <w:color w:val="000000"/>
          <w:shd w:val="clear" w:color="auto" w:fill="FFFFFF"/>
        </w:rPr>
        <w:t>l</w:t>
      </w:r>
      <w:r>
        <w:rPr>
          <w:color w:val="000000"/>
          <w:shd w:val="clear" w:color="auto" w:fill="FFFFFF"/>
        </w:rPr>
        <w:t xml:space="preserve"> situation is stable the public health response, including laboratory capacities </w:t>
      </w:r>
      <w:proofErr w:type="gramStart"/>
      <w:r>
        <w:rPr>
          <w:color w:val="000000"/>
          <w:shd w:val="clear" w:color="auto" w:fill="FFFFFF"/>
        </w:rPr>
        <w:t>have to</w:t>
      </w:r>
      <w:proofErr w:type="gramEnd"/>
      <w:r>
        <w:rPr>
          <w:color w:val="000000"/>
          <w:shd w:val="clear" w:color="auto" w:fill="FFFFFF"/>
        </w:rPr>
        <w:t xml:space="preserve"> be in place in order to be ready to response to other potential wave of COVID-19 cases. In </w:t>
      </w:r>
      <w:r w:rsidR="000D0803">
        <w:rPr>
          <w:color w:val="000000"/>
          <w:shd w:val="clear" w:color="auto" w:fill="FFFFFF"/>
        </w:rPr>
        <w:t>addition,</w:t>
      </w:r>
      <w:r>
        <w:rPr>
          <w:color w:val="000000"/>
          <w:shd w:val="clear" w:color="auto" w:fill="FFFFFF"/>
        </w:rPr>
        <w:t xml:space="preserve"> since 24 </w:t>
      </w:r>
      <w:r w:rsidR="000D0803">
        <w:rPr>
          <w:color w:val="000000"/>
          <w:shd w:val="clear" w:color="auto" w:fill="FFFFFF"/>
        </w:rPr>
        <w:t>February</w:t>
      </w:r>
      <w:r>
        <w:rPr>
          <w:color w:val="000000"/>
          <w:shd w:val="clear" w:color="auto" w:fill="FFFFFF"/>
        </w:rPr>
        <w:t xml:space="preserve"> 2022, when war in Ukraine started </w:t>
      </w:r>
      <w:r w:rsidRPr="000071CB">
        <w:rPr>
          <w:rFonts w:cs="Arial"/>
        </w:rPr>
        <w:t xml:space="preserve">more than 500,000 refugees have entered the country. While most refugees have left for other countries directly or after a short stay, approximately </w:t>
      </w:r>
      <w:r>
        <w:rPr>
          <w:rFonts w:cs="Arial"/>
        </w:rPr>
        <w:t>form ~</w:t>
      </w:r>
      <w:r w:rsidRPr="000071CB">
        <w:rPr>
          <w:rFonts w:cs="Arial"/>
        </w:rPr>
        <w:t>80,000</w:t>
      </w:r>
      <w:r>
        <w:rPr>
          <w:rFonts w:cs="Arial"/>
        </w:rPr>
        <w:t xml:space="preserve"> to ~100,000</w:t>
      </w:r>
      <w:r w:rsidRPr="000071CB">
        <w:rPr>
          <w:rFonts w:cs="Arial"/>
        </w:rPr>
        <w:t xml:space="preserve"> of Ukraine refugees are currently hosted in the Republic of Moldova. The massive influx of refugees, both for transit and for medium/long-term stays, puts enormous pressure on Moldova's health system. It faces an additional burden, as most refugees are women with children or elderly people who need long-term care. </w:t>
      </w:r>
    </w:p>
    <w:p w14:paraId="53445C81" w14:textId="08C65E52" w:rsidR="00214524" w:rsidRDefault="00795E97" w:rsidP="00E41F97">
      <w:pPr>
        <w:spacing w:after="60" w:line="240" w:lineRule="auto"/>
        <w:jc w:val="both"/>
        <w:rPr>
          <w:rFonts w:cs="Arial"/>
        </w:rPr>
      </w:pPr>
      <w:r>
        <w:rPr>
          <w:rFonts w:cs="Arial"/>
        </w:rPr>
        <w:t xml:space="preserve">The COVID-19 pandemic situation and refugee influx </w:t>
      </w:r>
      <w:r w:rsidR="00214524">
        <w:rPr>
          <w:rFonts w:cs="Arial"/>
        </w:rPr>
        <w:t xml:space="preserve">emergency </w:t>
      </w:r>
      <w:r>
        <w:rPr>
          <w:rFonts w:cs="Arial"/>
        </w:rPr>
        <w:t xml:space="preserve">determine the increasing number of patients who </w:t>
      </w:r>
      <w:r w:rsidR="00E41F97" w:rsidRPr="000071CB">
        <w:rPr>
          <w:rFonts w:cs="Arial"/>
        </w:rPr>
        <w:t xml:space="preserve">require treatment at both primary and hospital level </w:t>
      </w:r>
      <w:r>
        <w:rPr>
          <w:rFonts w:cs="Arial"/>
        </w:rPr>
        <w:t>due to</w:t>
      </w:r>
      <w:r w:rsidR="00E41F97" w:rsidRPr="000071CB">
        <w:rPr>
          <w:rFonts w:cs="Arial"/>
        </w:rPr>
        <w:t xml:space="preserve"> respiratory disorders</w:t>
      </w:r>
      <w:r>
        <w:rPr>
          <w:rFonts w:cs="Arial"/>
        </w:rPr>
        <w:t xml:space="preserve"> and</w:t>
      </w:r>
      <w:r w:rsidR="00E41F97" w:rsidRPr="000071CB">
        <w:rPr>
          <w:rFonts w:cs="Arial"/>
        </w:rPr>
        <w:t xml:space="preserve"> digestive problems</w:t>
      </w:r>
      <w:r>
        <w:rPr>
          <w:rFonts w:cs="Arial"/>
        </w:rPr>
        <w:t xml:space="preserve"> as well as potential outbreaks with vaccine preventable diseases</w:t>
      </w:r>
      <w:r w:rsidR="00E41F97" w:rsidRPr="000071CB">
        <w:rPr>
          <w:rFonts w:cs="Arial"/>
        </w:rPr>
        <w:t xml:space="preserve">. </w:t>
      </w:r>
      <w:r w:rsidR="000D0803">
        <w:rPr>
          <w:rFonts w:cs="Arial"/>
        </w:rPr>
        <w:t xml:space="preserve">The early detection, </w:t>
      </w:r>
      <w:proofErr w:type="gramStart"/>
      <w:r w:rsidR="000D0803">
        <w:rPr>
          <w:rFonts w:cs="Arial"/>
        </w:rPr>
        <w:t>identification</w:t>
      </w:r>
      <w:proofErr w:type="gramEnd"/>
      <w:r w:rsidR="000D0803">
        <w:rPr>
          <w:rFonts w:cs="Arial"/>
        </w:rPr>
        <w:t xml:space="preserve"> and confirmation of the cases</w:t>
      </w:r>
      <w:r w:rsidR="00214524">
        <w:rPr>
          <w:rFonts w:cs="Arial"/>
        </w:rPr>
        <w:t xml:space="preserve"> of infectious diseases</w:t>
      </w:r>
      <w:r w:rsidR="000D0803">
        <w:rPr>
          <w:rFonts w:cs="Arial"/>
        </w:rPr>
        <w:t xml:space="preserve"> as well as </w:t>
      </w:r>
      <w:r w:rsidR="00214524">
        <w:rPr>
          <w:rFonts w:cs="Arial"/>
        </w:rPr>
        <w:t xml:space="preserve">functionalities of the </w:t>
      </w:r>
      <w:r w:rsidR="000D0803">
        <w:rPr>
          <w:rFonts w:cs="Arial"/>
        </w:rPr>
        <w:t xml:space="preserve">surveillance of communicable diseases and event-base surveillance </w:t>
      </w:r>
      <w:r w:rsidR="00214524">
        <w:rPr>
          <w:rFonts w:cs="Arial"/>
        </w:rPr>
        <w:t xml:space="preserve">system </w:t>
      </w:r>
      <w:r w:rsidR="000D0803">
        <w:rPr>
          <w:rFonts w:cs="Arial"/>
        </w:rPr>
        <w:t>require</w:t>
      </w:r>
      <w:r w:rsidR="00214524">
        <w:rPr>
          <w:rFonts w:cs="Arial"/>
        </w:rPr>
        <w:t xml:space="preserve"> strong and well-functioning laboratory network, including the Mobile Laboratory capacities. </w:t>
      </w:r>
    </w:p>
    <w:p w14:paraId="29018EC3" w14:textId="21747E43" w:rsidR="00FF2A9A" w:rsidRPr="00BF3E39" w:rsidRDefault="00FF2A9A" w:rsidP="00FF2A9A">
      <w:pPr>
        <w:spacing w:after="60" w:line="240" w:lineRule="auto"/>
        <w:jc w:val="both"/>
        <w:rPr>
          <w:color w:val="000000"/>
          <w:shd w:val="clear" w:color="auto" w:fill="FFFFFF"/>
        </w:rPr>
      </w:pPr>
      <w:r>
        <w:rPr>
          <w:color w:val="000000"/>
          <w:shd w:val="clear" w:color="auto" w:fill="FFFFFF"/>
        </w:rPr>
        <w:t xml:space="preserve">The </w:t>
      </w:r>
      <w:r>
        <w:rPr>
          <w:rFonts w:cstheme="minorHAnsi"/>
        </w:rPr>
        <w:t xml:space="preserve">COVID-19 pandemic emergency in combination with Ukrainian refugee influx require the health system to be flexible with rapid response capacities to identify the microorganisms and to implement the copping public health measures, therefore consumables and reactive </w:t>
      </w:r>
      <w:proofErr w:type="gramStart"/>
      <w:r>
        <w:rPr>
          <w:rFonts w:cstheme="minorHAnsi"/>
        </w:rPr>
        <w:t>have to</w:t>
      </w:r>
      <w:proofErr w:type="gramEnd"/>
      <w:r>
        <w:rPr>
          <w:rFonts w:cstheme="minorHAnsi"/>
        </w:rPr>
        <w:t xml:space="preserve"> be available and laboratory services have to be offered in the efficient, quality and timely manner. </w:t>
      </w:r>
      <w:r w:rsidR="00214524">
        <w:rPr>
          <w:rFonts w:cs="Arial"/>
        </w:rPr>
        <w:t xml:space="preserve">The COVID-19 Emergency Preparedness and Response Plan approved by the Extraordinary Committee </w:t>
      </w:r>
      <w:r w:rsidR="000F7347">
        <w:rPr>
          <w:rFonts w:cs="Arial"/>
        </w:rPr>
        <w:t>for Public Health Emergency (March 2021) and Ukrainian Refugee Emergency Contingency Plan for the Health sector approved by the Ministry of Health (nr 590 from 17 June 2022) underlined the importance of the public health laboratories</w:t>
      </w:r>
      <w:r>
        <w:rPr>
          <w:rFonts w:cs="Arial"/>
        </w:rPr>
        <w:t xml:space="preserve"> network</w:t>
      </w:r>
      <w:r w:rsidR="000F7347">
        <w:rPr>
          <w:rFonts w:cs="Arial"/>
        </w:rPr>
        <w:t xml:space="preserve"> and emphasize the necessity to equip the laborator</w:t>
      </w:r>
      <w:r>
        <w:rPr>
          <w:rFonts w:cs="Arial"/>
        </w:rPr>
        <w:t>ies (Reference national and regional public health, mobile and hospital ones)</w:t>
      </w:r>
      <w:r w:rsidR="000F7347">
        <w:rPr>
          <w:rFonts w:cs="Arial"/>
        </w:rPr>
        <w:t xml:space="preserve">, furthermore to ensure the access to the </w:t>
      </w:r>
      <w:r>
        <w:rPr>
          <w:rFonts w:cs="Arial"/>
        </w:rPr>
        <w:t xml:space="preserve">equipment, reagents and consumables. </w:t>
      </w:r>
    </w:p>
    <w:p w14:paraId="3D1D1E52" w14:textId="3BCE8936" w:rsidR="00214524" w:rsidRDefault="00214524" w:rsidP="000F7347">
      <w:pPr>
        <w:spacing w:after="60" w:line="240" w:lineRule="auto"/>
        <w:jc w:val="both"/>
        <w:rPr>
          <w:rFonts w:cs="Arial"/>
        </w:rPr>
      </w:pPr>
    </w:p>
    <w:p w14:paraId="689F0AFA" w14:textId="77777777" w:rsidR="00DB0902" w:rsidRPr="008A15CD" w:rsidRDefault="00DB0902" w:rsidP="009968CA">
      <w:pPr>
        <w:spacing w:after="60" w:line="240" w:lineRule="auto"/>
        <w:jc w:val="both"/>
        <w:rPr>
          <w:rFonts w:cstheme="minorHAnsi"/>
          <w:sz w:val="20"/>
          <w:szCs w:val="20"/>
          <w:highlight w:val="yellow"/>
        </w:rPr>
      </w:pPr>
    </w:p>
    <w:p w14:paraId="1560DCE9"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0004D1" w:rsidRPr="008A15CD">
        <w:rPr>
          <w:rFonts w:cstheme="minorHAnsi"/>
          <w:b/>
          <w:bCs/>
        </w:rPr>
        <w:t xml:space="preserve">Planned timelines </w:t>
      </w:r>
      <w:r w:rsidR="000004D1" w:rsidRPr="008A15CD">
        <w:rPr>
          <w:rFonts w:cstheme="minorHAnsi"/>
        </w:rPr>
        <w:t>(subject to confirmation)</w:t>
      </w:r>
    </w:p>
    <w:p w14:paraId="7BE8DD54" w14:textId="1791AB7B" w:rsidR="000004D1" w:rsidRPr="008A15CD" w:rsidRDefault="003E67C2" w:rsidP="000004D1">
      <w:pPr>
        <w:spacing w:after="60" w:line="240" w:lineRule="auto"/>
        <w:rPr>
          <w:rFonts w:cstheme="minorHAnsi"/>
        </w:rPr>
      </w:pPr>
      <w:r>
        <w:rPr>
          <w:rFonts w:cstheme="minorHAnsi"/>
        </w:rPr>
        <w:t>12-</w:t>
      </w:r>
      <w:r w:rsidR="009968CA" w:rsidRPr="00CA2FB8">
        <w:rPr>
          <w:rFonts w:cstheme="minorHAnsi"/>
        </w:rPr>
        <w:t>25</w:t>
      </w:r>
      <w:r w:rsidR="00AE3D22" w:rsidRPr="00CA2FB8">
        <w:rPr>
          <w:rFonts w:cstheme="minorHAnsi"/>
        </w:rPr>
        <w:t xml:space="preserve"> Ju</w:t>
      </w:r>
      <w:r w:rsidR="009968CA" w:rsidRPr="00CA2FB8">
        <w:rPr>
          <w:rFonts w:cstheme="minorHAnsi"/>
        </w:rPr>
        <w:t>ly</w:t>
      </w:r>
      <w:r w:rsidR="0098007E" w:rsidRPr="00CA2FB8">
        <w:rPr>
          <w:rFonts w:cstheme="minorHAnsi"/>
        </w:rPr>
        <w:t xml:space="preserve"> </w:t>
      </w:r>
      <w:r w:rsidR="007E6EA0" w:rsidRPr="00CA2FB8">
        <w:rPr>
          <w:rFonts w:cstheme="minorHAnsi"/>
        </w:rPr>
        <w:t>202</w:t>
      </w:r>
      <w:r w:rsidR="00500775" w:rsidRPr="00CA2FB8">
        <w:rPr>
          <w:rFonts w:cstheme="minorHAnsi"/>
        </w:rPr>
        <w:t>2</w:t>
      </w:r>
    </w:p>
    <w:p w14:paraId="2F7FD1EF" w14:textId="77777777" w:rsidR="00CF48C5" w:rsidRDefault="00CF48C5" w:rsidP="00CF48C5">
      <w:pPr>
        <w:pStyle w:val="ListParagraph"/>
        <w:spacing w:after="60" w:line="240" w:lineRule="auto"/>
        <w:ind w:left="360"/>
        <w:rPr>
          <w:rFonts w:cstheme="minorHAnsi"/>
          <w:b/>
          <w:bCs/>
        </w:rPr>
      </w:pPr>
    </w:p>
    <w:p w14:paraId="55A57F63" w14:textId="77777777" w:rsidR="000004D1" w:rsidRPr="008A15CD" w:rsidRDefault="0077203D" w:rsidP="000004D1">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Requirements</w:t>
      </w:r>
      <w:r w:rsidRPr="008A15CD">
        <w:rPr>
          <w:rFonts w:cstheme="minorHAnsi"/>
          <w:b/>
          <w:bCs/>
        </w:rPr>
        <w:t xml:space="preserve"> -</w:t>
      </w:r>
      <w:r w:rsidR="00C51175" w:rsidRPr="008A15CD">
        <w:rPr>
          <w:rFonts w:cstheme="minorHAnsi"/>
          <w:b/>
          <w:bCs/>
        </w:rPr>
        <w:t xml:space="preserve"> </w:t>
      </w:r>
      <w:r w:rsidR="00DD12DB" w:rsidRPr="008A15CD">
        <w:rPr>
          <w:rFonts w:cstheme="minorHAnsi"/>
          <w:b/>
          <w:bCs/>
        </w:rPr>
        <w:t>Work to be performed</w:t>
      </w:r>
    </w:p>
    <w:p w14:paraId="496DF982" w14:textId="0DFB97DA" w:rsidR="00FF2A9A" w:rsidRPr="00A3608D" w:rsidRDefault="00C51175" w:rsidP="00FF2A9A">
      <w:pPr>
        <w:spacing w:after="0"/>
        <w:ind w:left="28"/>
        <w:jc w:val="both"/>
        <w:rPr>
          <w:rFonts w:cstheme="minorHAnsi"/>
        </w:rPr>
      </w:pPr>
      <w:r w:rsidRPr="008A15CD">
        <w:rPr>
          <w:rFonts w:cstheme="minorHAnsi"/>
          <w:u w:val="single"/>
        </w:rPr>
        <w:t>Objective</w:t>
      </w:r>
      <w:r w:rsidR="000004D1" w:rsidRPr="00FC4B20">
        <w:rPr>
          <w:rFonts w:cstheme="minorHAnsi"/>
          <w:sz w:val="20"/>
          <w:szCs w:val="20"/>
        </w:rPr>
        <w:t xml:space="preserve">: </w:t>
      </w:r>
      <w:r w:rsidR="00FF2A9A">
        <w:rPr>
          <w:rFonts w:cstheme="minorHAnsi"/>
        </w:rPr>
        <w:t>Procurement of the laboratory consumables</w:t>
      </w:r>
      <w:r w:rsidR="00CA2FB8">
        <w:rPr>
          <w:rFonts w:cstheme="minorHAnsi"/>
        </w:rPr>
        <w:t xml:space="preserve">, </w:t>
      </w:r>
      <w:proofErr w:type="gramStart"/>
      <w:r w:rsidR="00FF2A9A">
        <w:rPr>
          <w:rFonts w:cstheme="minorHAnsi"/>
        </w:rPr>
        <w:t>reagents</w:t>
      </w:r>
      <w:proofErr w:type="gramEnd"/>
      <w:r w:rsidR="00FF2A9A">
        <w:rPr>
          <w:rFonts w:cstheme="minorHAnsi"/>
        </w:rPr>
        <w:t xml:space="preserve"> </w:t>
      </w:r>
      <w:r w:rsidR="00CA2FB8">
        <w:rPr>
          <w:rFonts w:cstheme="minorHAnsi"/>
        </w:rPr>
        <w:t xml:space="preserve">and devices </w:t>
      </w:r>
      <w:r w:rsidR="00FF2A9A">
        <w:rPr>
          <w:rFonts w:cstheme="minorHAnsi"/>
        </w:rPr>
        <w:t xml:space="preserve">for improving the laboratory capacities to respond the ongoing COVID-19 emergency and Ukrainian refugee influx emergency in the Republic of Moldova. </w:t>
      </w:r>
      <w:r w:rsidR="00FF2A9A" w:rsidRPr="00A3608D">
        <w:rPr>
          <w:rFonts w:cstheme="minorHAnsi"/>
        </w:rPr>
        <w:t xml:space="preserve"> </w:t>
      </w:r>
    </w:p>
    <w:p w14:paraId="284CD6A1" w14:textId="746788A4" w:rsidR="0054217E" w:rsidRPr="00A3608D" w:rsidRDefault="0054217E" w:rsidP="0054217E">
      <w:pPr>
        <w:spacing w:after="0"/>
        <w:ind w:left="28"/>
        <w:rPr>
          <w:rFonts w:cstheme="minorHAnsi"/>
        </w:rPr>
      </w:pPr>
    </w:p>
    <w:p w14:paraId="16FC65D4" w14:textId="0EC9D3F1" w:rsidR="00C51175" w:rsidRDefault="00B13252" w:rsidP="00C51175">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 xml:space="preserve">Requirements </w:t>
      </w:r>
    </w:p>
    <w:p w14:paraId="66C53124" w14:textId="08D68234" w:rsidR="00F36895" w:rsidRPr="00304AB1" w:rsidRDefault="00226D3B" w:rsidP="00F36895">
      <w:pPr>
        <w:ind w:left="252"/>
        <w:jc w:val="both"/>
        <w:rPr>
          <w:rFonts w:cstheme="minorHAnsi"/>
          <w:b/>
          <w:i/>
          <w:iCs/>
        </w:rPr>
      </w:pPr>
      <w:r w:rsidRPr="00304AB1">
        <w:rPr>
          <w:rFonts w:cstheme="minorHAnsi"/>
          <w:b/>
          <w:i/>
          <w:iCs/>
        </w:rPr>
        <w:t>The list of items and t</w:t>
      </w:r>
      <w:r w:rsidR="00F36895" w:rsidRPr="00304AB1">
        <w:rPr>
          <w:rFonts w:cstheme="minorHAnsi"/>
          <w:b/>
          <w:i/>
          <w:iCs/>
        </w:rPr>
        <w:t>echnical specifications</w:t>
      </w:r>
      <w:r w:rsidR="00B8414B" w:rsidRPr="00304AB1">
        <w:rPr>
          <w:rFonts w:cstheme="minorHAnsi"/>
          <w:b/>
          <w:i/>
          <w:iCs/>
        </w:rPr>
        <w:t xml:space="preserve"> </w:t>
      </w:r>
      <w:r w:rsidR="00CA2FB8" w:rsidRPr="00304AB1">
        <w:rPr>
          <w:rFonts w:cstheme="minorHAnsi"/>
          <w:b/>
          <w:i/>
          <w:iCs/>
        </w:rPr>
        <w:t xml:space="preserve">in </w:t>
      </w:r>
      <w:r w:rsidRPr="00304AB1">
        <w:rPr>
          <w:rFonts w:cstheme="minorHAnsi"/>
          <w:b/>
          <w:i/>
          <w:iCs/>
        </w:rPr>
        <w:t>a</w:t>
      </w:r>
      <w:r w:rsidR="00CA2FB8" w:rsidRPr="00304AB1">
        <w:rPr>
          <w:rFonts w:cstheme="minorHAnsi"/>
          <w:b/>
          <w:i/>
          <w:iCs/>
        </w:rPr>
        <w:t xml:space="preserve"> separate file</w:t>
      </w:r>
    </w:p>
    <w:p w14:paraId="1F11033D" w14:textId="77777777" w:rsidR="00ED54FF" w:rsidRPr="00ED54FF" w:rsidRDefault="00ED54FF" w:rsidP="00ED54FF">
      <w:pPr>
        <w:spacing w:after="0"/>
        <w:rPr>
          <w:rFonts w:cstheme="minorHAnsi"/>
        </w:rPr>
      </w:pPr>
    </w:p>
    <w:p w14:paraId="6EEB2113" w14:textId="77777777"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17DA31EF" w14:textId="0BAFE161" w:rsidR="00C51175" w:rsidRDefault="00F36895" w:rsidP="00C51175">
      <w:pPr>
        <w:spacing w:after="0"/>
        <w:rPr>
          <w:color w:val="000000"/>
          <w:shd w:val="clear" w:color="auto" w:fill="FFFFFF"/>
        </w:rPr>
      </w:pPr>
      <w:r w:rsidRPr="00F36895">
        <w:rPr>
          <w:rFonts w:cstheme="minorHAnsi"/>
        </w:rPr>
        <w:t xml:space="preserve">The </w:t>
      </w:r>
      <w:r w:rsidR="00A44C8C">
        <w:rPr>
          <w:rFonts w:cstheme="minorHAnsi"/>
        </w:rPr>
        <w:t xml:space="preserve">overall </w:t>
      </w:r>
      <w:r w:rsidRPr="00F36895">
        <w:rPr>
          <w:rFonts w:cstheme="minorHAnsi"/>
        </w:rPr>
        <w:t xml:space="preserve">activity </w:t>
      </w:r>
      <w:r w:rsidR="00A44C8C">
        <w:rPr>
          <w:rFonts w:cstheme="minorHAnsi"/>
        </w:rPr>
        <w:t xml:space="preserve">shall </w:t>
      </w:r>
      <w:r w:rsidRPr="00F36895">
        <w:rPr>
          <w:rFonts w:cstheme="minorHAnsi"/>
        </w:rPr>
        <w:t xml:space="preserve">be </w:t>
      </w:r>
      <w:r w:rsidR="00A44C8C">
        <w:rPr>
          <w:rFonts w:cstheme="minorHAnsi"/>
        </w:rPr>
        <w:t xml:space="preserve">coordinated with inputs from </w:t>
      </w:r>
      <w:r w:rsidRPr="00F36895">
        <w:rPr>
          <w:rFonts w:cstheme="minorHAnsi"/>
        </w:rPr>
        <w:t>the Requesting Officer from WHO C</w:t>
      </w:r>
      <w:r w:rsidRPr="0053239D">
        <w:rPr>
          <w:rFonts w:cstheme="minorHAnsi"/>
        </w:rPr>
        <w:t>O</w:t>
      </w:r>
      <w:r w:rsidR="00E91AC3" w:rsidRPr="0053239D">
        <w:rPr>
          <w:color w:val="000000"/>
          <w:shd w:val="clear" w:color="auto" w:fill="FFFFFF"/>
        </w:rPr>
        <w:t>.</w:t>
      </w:r>
      <w:r w:rsidR="00E91AC3">
        <w:rPr>
          <w:color w:val="000000"/>
          <w:shd w:val="clear" w:color="auto" w:fill="FFFFFF"/>
        </w:rPr>
        <w:t xml:space="preserve"> </w:t>
      </w:r>
    </w:p>
    <w:p w14:paraId="09646449" w14:textId="77777777" w:rsidR="00B13252" w:rsidRPr="008A15CD" w:rsidRDefault="00B13252" w:rsidP="00B13252">
      <w:pPr>
        <w:pStyle w:val="ListParagraph"/>
        <w:spacing w:after="60" w:line="240" w:lineRule="auto"/>
        <w:ind w:left="360"/>
        <w:rPr>
          <w:rFonts w:cstheme="minorHAnsi"/>
          <w:b/>
          <w:bCs/>
        </w:rPr>
      </w:pPr>
    </w:p>
    <w:p w14:paraId="6B680149"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59CF2585" w14:textId="77777777" w:rsidR="00522D9F" w:rsidRDefault="00522D9F" w:rsidP="009439E6">
      <w:pPr>
        <w:spacing w:after="60" w:line="240" w:lineRule="auto"/>
      </w:pPr>
    </w:p>
    <w:p w14:paraId="447DA7E4" w14:textId="2AA51B73" w:rsidR="00F36895" w:rsidRDefault="00E93504" w:rsidP="00F36895">
      <w:pPr>
        <w:pStyle w:val="ListParagraph"/>
        <w:numPr>
          <w:ilvl w:val="0"/>
          <w:numId w:val="1"/>
        </w:numPr>
        <w:spacing w:after="60" w:line="240" w:lineRule="auto"/>
        <w:rPr>
          <w:rFonts w:cstheme="minorHAnsi"/>
          <w:b/>
          <w:bCs/>
        </w:rPr>
      </w:pPr>
      <w:r>
        <w:rPr>
          <w:rFonts w:cstheme="minorHAnsi"/>
          <w:b/>
          <w:bCs/>
        </w:rPr>
        <w:t>*</w:t>
      </w:r>
      <w:r w:rsidR="00DD12DB" w:rsidRPr="008A15CD">
        <w:rPr>
          <w:rFonts w:cstheme="minorHAnsi"/>
          <w:b/>
          <w:bCs/>
        </w:rPr>
        <w:t>Place of assignment</w:t>
      </w:r>
    </w:p>
    <w:p w14:paraId="1B1ADB1A" w14:textId="7054437E" w:rsidR="00F36895" w:rsidRDefault="00F36895" w:rsidP="00F36895">
      <w:pPr>
        <w:pStyle w:val="ListParagraph"/>
        <w:spacing w:after="60" w:line="240" w:lineRule="auto"/>
        <w:ind w:left="360"/>
        <w:rPr>
          <w:rFonts w:cstheme="minorHAnsi"/>
          <w:b/>
          <w:bCs/>
        </w:rPr>
      </w:pPr>
    </w:p>
    <w:p w14:paraId="1D9F1819" w14:textId="2322699F" w:rsidR="0037119C" w:rsidRDefault="0037119C" w:rsidP="008B24D6">
      <w:pPr>
        <w:spacing w:after="0"/>
        <w:rPr>
          <w:color w:val="000000"/>
          <w:shd w:val="clear" w:color="auto" w:fill="FFFFFF"/>
        </w:rPr>
      </w:pPr>
      <w:r>
        <w:rPr>
          <w:color w:val="000000"/>
          <w:shd w:val="clear" w:color="auto" w:fill="FFFFFF"/>
        </w:rPr>
        <w:t>The consumables</w:t>
      </w:r>
      <w:r w:rsidR="00CA2FB8">
        <w:rPr>
          <w:color w:val="000000"/>
          <w:shd w:val="clear" w:color="auto" w:fill="FFFFFF"/>
        </w:rPr>
        <w:t xml:space="preserve">, </w:t>
      </w:r>
      <w:r>
        <w:rPr>
          <w:color w:val="000000"/>
          <w:shd w:val="clear" w:color="auto" w:fill="FFFFFF"/>
        </w:rPr>
        <w:t>rea</w:t>
      </w:r>
      <w:r w:rsidR="00CA2FB8">
        <w:rPr>
          <w:color w:val="000000"/>
          <w:shd w:val="clear" w:color="auto" w:fill="FFFFFF"/>
        </w:rPr>
        <w:t>gents and devices</w:t>
      </w:r>
      <w:r>
        <w:rPr>
          <w:color w:val="000000"/>
          <w:shd w:val="clear" w:color="auto" w:fill="FFFFFF"/>
        </w:rPr>
        <w:t xml:space="preserve"> will be donated following the WHO and donor visibility procedures to the </w:t>
      </w:r>
      <w:r w:rsidRPr="00BF3E39">
        <w:rPr>
          <w:color w:val="000000"/>
          <w:shd w:val="clear" w:color="auto" w:fill="FFFFFF"/>
        </w:rPr>
        <w:t xml:space="preserve">National Reference laboratory </w:t>
      </w:r>
      <w:r>
        <w:rPr>
          <w:color w:val="000000"/>
          <w:shd w:val="clear" w:color="auto" w:fill="FFFFFF"/>
        </w:rPr>
        <w:t xml:space="preserve">of the National Agency for Public Health. </w:t>
      </w:r>
    </w:p>
    <w:p w14:paraId="01CBA90E" w14:textId="77777777" w:rsidR="0037119C" w:rsidRDefault="0037119C" w:rsidP="008B24D6">
      <w:pPr>
        <w:spacing w:after="0"/>
        <w:rPr>
          <w:color w:val="000000"/>
          <w:shd w:val="clear" w:color="auto" w:fill="FFFFFF"/>
        </w:rPr>
      </w:pPr>
    </w:p>
    <w:p w14:paraId="72A7FB28" w14:textId="77777777" w:rsidR="008B24D6" w:rsidRPr="00F36895" w:rsidRDefault="008B24D6" w:rsidP="00F36895">
      <w:pPr>
        <w:pStyle w:val="ListParagraph"/>
        <w:spacing w:after="60" w:line="240" w:lineRule="auto"/>
        <w:ind w:left="360"/>
        <w:rPr>
          <w:rFonts w:cstheme="minorHAnsi"/>
        </w:rPr>
      </w:pPr>
    </w:p>
    <w:sectPr w:rsidR="008B24D6" w:rsidRPr="00F36895" w:rsidSect="000004D1">
      <w:footerReference w:type="default" r:id="rId9"/>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E622" w14:textId="77777777" w:rsidR="001A5382" w:rsidRDefault="001A5382" w:rsidP="00116345">
      <w:pPr>
        <w:spacing w:after="0" w:line="240" w:lineRule="auto"/>
      </w:pPr>
      <w:r>
        <w:separator/>
      </w:r>
    </w:p>
  </w:endnote>
  <w:endnote w:type="continuationSeparator" w:id="0">
    <w:p w14:paraId="1C0805FD" w14:textId="77777777" w:rsidR="001A5382" w:rsidRDefault="001A5382"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6EF2" w14:textId="77777777" w:rsidR="00116345" w:rsidRDefault="008A15CD" w:rsidP="008A15CD">
    <w:pPr>
      <w:pStyle w:val="Footer"/>
      <w:jc w:val="right"/>
      <w:rPr>
        <w:b/>
        <w:bCs/>
        <w:color w:val="808080" w:themeColor="background1" w:themeShade="80"/>
        <w:sz w:val="14"/>
        <w:szCs w:val="14"/>
      </w:rPr>
    </w:pPr>
    <w:r>
      <w:rPr>
        <w:b/>
        <w:bCs/>
        <w:color w:val="808080" w:themeColor="background1" w:themeShade="80"/>
        <w:sz w:val="14"/>
        <w:szCs w:val="14"/>
      </w:rPr>
      <w:t>APWs</w:t>
    </w:r>
    <w:r w:rsidR="00F37168">
      <w:rPr>
        <w:b/>
        <w:bCs/>
        <w:color w:val="808080" w:themeColor="background1" w:themeShade="80"/>
        <w:sz w:val="14"/>
        <w:szCs w:val="14"/>
      </w:rPr>
      <w:t>Cies</w:t>
    </w:r>
    <w:r w:rsidR="00116345" w:rsidRPr="00116345">
      <w:rPr>
        <w:b/>
        <w:bCs/>
        <w:color w:val="808080" w:themeColor="background1" w:themeShade="80"/>
        <w:sz w:val="14"/>
        <w:szCs w:val="14"/>
      </w:rPr>
      <w:t>_T</w:t>
    </w:r>
    <w:r>
      <w:rPr>
        <w:b/>
        <w:bCs/>
        <w:color w:val="808080" w:themeColor="background1" w:themeShade="80"/>
        <w:sz w:val="14"/>
        <w:szCs w:val="14"/>
      </w:rPr>
      <w:t>oRs</w:t>
    </w:r>
    <w:r w:rsidR="00116345" w:rsidRPr="00116345">
      <w:rPr>
        <w:b/>
        <w:bCs/>
        <w:color w:val="808080" w:themeColor="background1" w:themeShade="80"/>
        <w:sz w:val="14"/>
        <w:szCs w:val="14"/>
      </w:rPr>
      <w:t>Template_V</w:t>
    </w:r>
    <w:r>
      <w:rPr>
        <w:b/>
        <w:bCs/>
        <w:color w:val="808080" w:themeColor="background1" w:themeShade="80"/>
        <w:sz w:val="14"/>
        <w:szCs w:val="14"/>
      </w:rPr>
      <w:t>1</w:t>
    </w:r>
    <w:r w:rsidR="00116345" w:rsidRPr="00116345">
      <w:rPr>
        <w:b/>
        <w:bCs/>
        <w:color w:val="808080" w:themeColor="background1" w:themeShade="80"/>
        <w:sz w:val="14"/>
        <w:szCs w:val="14"/>
      </w:rPr>
      <w:t>_201</w:t>
    </w:r>
    <w:r>
      <w:rPr>
        <w:b/>
        <w:bCs/>
        <w:color w:val="808080" w:themeColor="background1" w:themeShade="80"/>
        <w:sz w:val="14"/>
        <w:szCs w:val="14"/>
      </w:rPr>
      <w:t>70329</w:t>
    </w:r>
    <w:r w:rsidR="00116345">
      <w:rPr>
        <w:b/>
        <w:bCs/>
        <w:color w:val="808080" w:themeColor="background1" w:themeShade="80"/>
        <w:sz w:val="14"/>
        <w:szCs w:val="14"/>
      </w:rPr>
      <w:t xml:space="preserve">  </w:t>
    </w:r>
  </w:p>
  <w:p w14:paraId="614BE346"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E93504">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375AD876"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C095" w14:textId="77777777" w:rsidR="001A5382" w:rsidRDefault="001A5382" w:rsidP="00116345">
      <w:pPr>
        <w:spacing w:after="0" w:line="240" w:lineRule="auto"/>
      </w:pPr>
      <w:r>
        <w:separator/>
      </w:r>
    </w:p>
  </w:footnote>
  <w:footnote w:type="continuationSeparator" w:id="0">
    <w:p w14:paraId="45ECAF56" w14:textId="77777777" w:rsidR="001A5382" w:rsidRDefault="001A5382" w:rsidP="00116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2B7"/>
    <w:multiLevelType w:val="hybridMultilevel"/>
    <w:tmpl w:val="DAA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253D27"/>
    <w:multiLevelType w:val="hybridMultilevel"/>
    <w:tmpl w:val="84F4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D2011"/>
    <w:multiLevelType w:val="hybridMultilevel"/>
    <w:tmpl w:val="84A08E84"/>
    <w:lvl w:ilvl="0" w:tplc="CAC80A0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9"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4041F1D"/>
    <w:multiLevelType w:val="hybridMultilevel"/>
    <w:tmpl w:val="8C20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4"/>
  </w:num>
  <w:num w:numId="4">
    <w:abstractNumId w:val="1"/>
  </w:num>
  <w:num w:numId="5">
    <w:abstractNumId w:val="12"/>
  </w:num>
  <w:num w:numId="6">
    <w:abstractNumId w:val="3"/>
  </w:num>
  <w:num w:numId="7">
    <w:abstractNumId w:val="9"/>
  </w:num>
  <w:num w:numId="8">
    <w:abstractNumId w:val="8"/>
  </w:num>
  <w:num w:numId="9">
    <w:abstractNumId w:val="6"/>
  </w:num>
  <w:num w:numId="10">
    <w:abstractNumId w:val="2"/>
  </w:num>
  <w:num w:numId="11">
    <w:abstractNumId w:val="0"/>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2712F"/>
    <w:rsid w:val="0003094E"/>
    <w:rsid w:val="00051998"/>
    <w:rsid w:val="00083D27"/>
    <w:rsid w:val="00086BB2"/>
    <w:rsid w:val="00092B42"/>
    <w:rsid w:val="000952A2"/>
    <w:rsid w:val="000B1197"/>
    <w:rsid w:val="000C507D"/>
    <w:rsid w:val="000D0803"/>
    <w:rsid w:val="000D08E0"/>
    <w:rsid w:val="000F7347"/>
    <w:rsid w:val="00116345"/>
    <w:rsid w:val="00116A84"/>
    <w:rsid w:val="00157977"/>
    <w:rsid w:val="001648E8"/>
    <w:rsid w:val="00185403"/>
    <w:rsid w:val="00196D7B"/>
    <w:rsid w:val="001A0E9B"/>
    <w:rsid w:val="001A5382"/>
    <w:rsid w:val="001D06C8"/>
    <w:rsid w:val="001F3ED9"/>
    <w:rsid w:val="00202F71"/>
    <w:rsid w:val="00214524"/>
    <w:rsid w:val="00226D3B"/>
    <w:rsid w:val="00254115"/>
    <w:rsid w:val="00262620"/>
    <w:rsid w:val="00283AD3"/>
    <w:rsid w:val="0029326F"/>
    <w:rsid w:val="00296D5B"/>
    <w:rsid w:val="002A07BC"/>
    <w:rsid w:val="002A49D7"/>
    <w:rsid w:val="002A53F6"/>
    <w:rsid w:val="002B20C8"/>
    <w:rsid w:val="002B3CA8"/>
    <w:rsid w:val="002C1915"/>
    <w:rsid w:val="002F23A6"/>
    <w:rsid w:val="002F4C9E"/>
    <w:rsid w:val="00304AB1"/>
    <w:rsid w:val="0030570D"/>
    <w:rsid w:val="00340AE9"/>
    <w:rsid w:val="0034300D"/>
    <w:rsid w:val="00350BA8"/>
    <w:rsid w:val="0037119C"/>
    <w:rsid w:val="00373B33"/>
    <w:rsid w:val="003B308C"/>
    <w:rsid w:val="003B5101"/>
    <w:rsid w:val="003D16B7"/>
    <w:rsid w:val="003D3F8E"/>
    <w:rsid w:val="003E67C2"/>
    <w:rsid w:val="00406BCC"/>
    <w:rsid w:val="00410B20"/>
    <w:rsid w:val="00454AF8"/>
    <w:rsid w:val="00484DAC"/>
    <w:rsid w:val="004A6FEF"/>
    <w:rsid w:val="004B7773"/>
    <w:rsid w:val="004C35D6"/>
    <w:rsid w:val="004D3436"/>
    <w:rsid w:val="004F3338"/>
    <w:rsid w:val="00500775"/>
    <w:rsid w:val="00522D9F"/>
    <w:rsid w:val="00525C92"/>
    <w:rsid w:val="0053239D"/>
    <w:rsid w:val="0054217E"/>
    <w:rsid w:val="00544172"/>
    <w:rsid w:val="00551A49"/>
    <w:rsid w:val="005B2C28"/>
    <w:rsid w:val="005F3D8A"/>
    <w:rsid w:val="006117D2"/>
    <w:rsid w:val="00637A33"/>
    <w:rsid w:val="00641C71"/>
    <w:rsid w:val="006450FF"/>
    <w:rsid w:val="0066557B"/>
    <w:rsid w:val="006658D0"/>
    <w:rsid w:val="00671EEE"/>
    <w:rsid w:val="006816A5"/>
    <w:rsid w:val="00694B8F"/>
    <w:rsid w:val="006D67C1"/>
    <w:rsid w:val="0070441F"/>
    <w:rsid w:val="0075541B"/>
    <w:rsid w:val="00763D80"/>
    <w:rsid w:val="007708C8"/>
    <w:rsid w:val="0077203D"/>
    <w:rsid w:val="0078300B"/>
    <w:rsid w:val="00795E97"/>
    <w:rsid w:val="007A0D08"/>
    <w:rsid w:val="007A21A2"/>
    <w:rsid w:val="007A7E7C"/>
    <w:rsid w:val="007E6EA0"/>
    <w:rsid w:val="00847D0B"/>
    <w:rsid w:val="00866272"/>
    <w:rsid w:val="00866F8A"/>
    <w:rsid w:val="0087267B"/>
    <w:rsid w:val="008A15CD"/>
    <w:rsid w:val="008B24D6"/>
    <w:rsid w:val="008D61DE"/>
    <w:rsid w:val="008D6A2E"/>
    <w:rsid w:val="008E091D"/>
    <w:rsid w:val="00912561"/>
    <w:rsid w:val="009238B3"/>
    <w:rsid w:val="00924182"/>
    <w:rsid w:val="00934883"/>
    <w:rsid w:val="009439E6"/>
    <w:rsid w:val="00961D87"/>
    <w:rsid w:val="009659BC"/>
    <w:rsid w:val="00966B1A"/>
    <w:rsid w:val="0098007E"/>
    <w:rsid w:val="00992C92"/>
    <w:rsid w:val="009968CA"/>
    <w:rsid w:val="009B4806"/>
    <w:rsid w:val="009C07EE"/>
    <w:rsid w:val="009E5D3E"/>
    <w:rsid w:val="009E5FD1"/>
    <w:rsid w:val="00A07AA3"/>
    <w:rsid w:val="00A25B1F"/>
    <w:rsid w:val="00A3608D"/>
    <w:rsid w:val="00A44C8C"/>
    <w:rsid w:val="00A50A9C"/>
    <w:rsid w:val="00A95741"/>
    <w:rsid w:val="00AA7BC9"/>
    <w:rsid w:val="00AB1F49"/>
    <w:rsid w:val="00AC164C"/>
    <w:rsid w:val="00AE3D22"/>
    <w:rsid w:val="00AF20FC"/>
    <w:rsid w:val="00B13252"/>
    <w:rsid w:val="00B30AAC"/>
    <w:rsid w:val="00B62B08"/>
    <w:rsid w:val="00B8414B"/>
    <w:rsid w:val="00B86255"/>
    <w:rsid w:val="00BA0A04"/>
    <w:rsid w:val="00BA4509"/>
    <w:rsid w:val="00BD4330"/>
    <w:rsid w:val="00BD6AB9"/>
    <w:rsid w:val="00BF3E39"/>
    <w:rsid w:val="00C05E37"/>
    <w:rsid w:val="00C32772"/>
    <w:rsid w:val="00C37F4B"/>
    <w:rsid w:val="00C440C5"/>
    <w:rsid w:val="00C46A08"/>
    <w:rsid w:val="00C51175"/>
    <w:rsid w:val="00C53A91"/>
    <w:rsid w:val="00C811A1"/>
    <w:rsid w:val="00CA2FB8"/>
    <w:rsid w:val="00CF48C5"/>
    <w:rsid w:val="00D0098F"/>
    <w:rsid w:val="00D8122E"/>
    <w:rsid w:val="00D8209C"/>
    <w:rsid w:val="00D95AE7"/>
    <w:rsid w:val="00DA0187"/>
    <w:rsid w:val="00DB0902"/>
    <w:rsid w:val="00DB6323"/>
    <w:rsid w:val="00DD12DB"/>
    <w:rsid w:val="00DD4733"/>
    <w:rsid w:val="00DF1090"/>
    <w:rsid w:val="00E10D2D"/>
    <w:rsid w:val="00E41F97"/>
    <w:rsid w:val="00E74451"/>
    <w:rsid w:val="00E91AC3"/>
    <w:rsid w:val="00E93504"/>
    <w:rsid w:val="00EA26FF"/>
    <w:rsid w:val="00ED54FF"/>
    <w:rsid w:val="00EF3128"/>
    <w:rsid w:val="00F061F8"/>
    <w:rsid w:val="00F21DE3"/>
    <w:rsid w:val="00F27A0B"/>
    <w:rsid w:val="00F27A1B"/>
    <w:rsid w:val="00F3293F"/>
    <w:rsid w:val="00F36895"/>
    <w:rsid w:val="00F37168"/>
    <w:rsid w:val="00F5772B"/>
    <w:rsid w:val="00F70F81"/>
    <w:rsid w:val="00F728D0"/>
    <w:rsid w:val="00FC4B20"/>
    <w:rsid w:val="00FE2FB8"/>
    <w:rsid w:val="00FF2A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E41AE"/>
  <w15:docId w15:val="{BD46CD7F-BE94-4BD1-900C-ED8BEE60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styleId="CommentReference">
    <w:name w:val="annotation reference"/>
    <w:basedOn w:val="DefaultParagraphFont"/>
    <w:uiPriority w:val="99"/>
    <w:semiHidden/>
    <w:unhideWhenUsed/>
    <w:rsid w:val="00B8414B"/>
    <w:rPr>
      <w:sz w:val="16"/>
      <w:szCs w:val="16"/>
    </w:rPr>
  </w:style>
  <w:style w:type="paragraph" w:styleId="CommentText">
    <w:name w:val="annotation text"/>
    <w:basedOn w:val="Normal"/>
    <w:link w:val="CommentTextChar"/>
    <w:uiPriority w:val="99"/>
    <w:semiHidden/>
    <w:unhideWhenUsed/>
    <w:rsid w:val="00B8414B"/>
    <w:pPr>
      <w:spacing w:line="240" w:lineRule="auto"/>
    </w:pPr>
    <w:rPr>
      <w:sz w:val="20"/>
      <w:szCs w:val="20"/>
    </w:rPr>
  </w:style>
  <w:style w:type="character" w:customStyle="1" w:styleId="CommentTextChar">
    <w:name w:val="Comment Text Char"/>
    <w:basedOn w:val="DefaultParagraphFont"/>
    <w:link w:val="CommentText"/>
    <w:uiPriority w:val="99"/>
    <w:semiHidden/>
    <w:rsid w:val="00B8414B"/>
    <w:rPr>
      <w:sz w:val="20"/>
      <w:szCs w:val="20"/>
    </w:rPr>
  </w:style>
  <w:style w:type="paragraph" w:styleId="CommentSubject">
    <w:name w:val="annotation subject"/>
    <w:basedOn w:val="CommentText"/>
    <w:next w:val="CommentText"/>
    <w:link w:val="CommentSubjectChar"/>
    <w:uiPriority w:val="99"/>
    <w:semiHidden/>
    <w:unhideWhenUsed/>
    <w:rsid w:val="00B8414B"/>
    <w:rPr>
      <w:b/>
      <w:bCs/>
    </w:rPr>
  </w:style>
  <w:style w:type="character" w:customStyle="1" w:styleId="CommentSubjectChar">
    <w:name w:val="Comment Subject Char"/>
    <w:basedOn w:val="CommentTextChar"/>
    <w:link w:val="CommentSubject"/>
    <w:uiPriority w:val="99"/>
    <w:semiHidden/>
    <w:rsid w:val="00B841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0807">
      <w:bodyDiv w:val="1"/>
      <w:marLeft w:val="0"/>
      <w:marRight w:val="0"/>
      <w:marTop w:val="0"/>
      <w:marBottom w:val="0"/>
      <w:divBdr>
        <w:top w:val="none" w:sz="0" w:space="0" w:color="auto"/>
        <w:left w:val="none" w:sz="0" w:space="0" w:color="auto"/>
        <w:bottom w:val="none" w:sz="0" w:space="0" w:color="auto"/>
        <w:right w:val="none" w:sz="0" w:space="0" w:color="auto"/>
      </w:divBdr>
    </w:div>
    <w:div w:id="787159353">
      <w:bodyDiv w:val="1"/>
      <w:marLeft w:val="0"/>
      <w:marRight w:val="0"/>
      <w:marTop w:val="0"/>
      <w:marBottom w:val="0"/>
      <w:divBdr>
        <w:top w:val="none" w:sz="0" w:space="0" w:color="auto"/>
        <w:left w:val="none" w:sz="0" w:space="0" w:color="auto"/>
        <w:bottom w:val="none" w:sz="0" w:space="0" w:color="auto"/>
        <w:right w:val="none" w:sz="0" w:space="0" w:color="auto"/>
      </w:divBdr>
    </w:div>
    <w:div w:id="1064912359">
      <w:bodyDiv w:val="1"/>
      <w:marLeft w:val="0"/>
      <w:marRight w:val="0"/>
      <w:marTop w:val="0"/>
      <w:marBottom w:val="0"/>
      <w:divBdr>
        <w:top w:val="none" w:sz="0" w:space="0" w:color="auto"/>
        <w:left w:val="none" w:sz="0" w:space="0" w:color="auto"/>
        <w:bottom w:val="none" w:sz="0" w:space="0" w:color="auto"/>
        <w:right w:val="none" w:sz="0" w:space="0" w:color="auto"/>
      </w:divBdr>
    </w:div>
    <w:div w:id="1091438956">
      <w:bodyDiv w:val="1"/>
      <w:marLeft w:val="0"/>
      <w:marRight w:val="0"/>
      <w:marTop w:val="0"/>
      <w:marBottom w:val="0"/>
      <w:divBdr>
        <w:top w:val="none" w:sz="0" w:space="0" w:color="auto"/>
        <w:left w:val="none" w:sz="0" w:space="0" w:color="auto"/>
        <w:bottom w:val="none" w:sz="0" w:space="0" w:color="auto"/>
        <w:right w:val="none" w:sz="0" w:space="0" w:color="auto"/>
      </w:divBdr>
    </w:div>
    <w:div w:id="20905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185E-6F77-4AEB-A8A9-45ACF21C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GOLAN, Svetlana</cp:lastModifiedBy>
  <cp:revision>6</cp:revision>
  <dcterms:created xsi:type="dcterms:W3CDTF">2022-06-27T15:56:00Z</dcterms:created>
  <dcterms:modified xsi:type="dcterms:W3CDTF">2022-06-27T15:59:00Z</dcterms:modified>
</cp:coreProperties>
</file>