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157"/>
      </w:tblGrid>
      <w:tr w:rsidR="008A15CD" w:rsidRPr="008A15CD" w14:paraId="2E89B979" w14:textId="77777777" w:rsidTr="008A15CD">
        <w:tc>
          <w:tcPr>
            <w:tcW w:w="3085" w:type="dxa"/>
            <w:vAlign w:val="center"/>
          </w:tcPr>
          <w:p w14:paraId="46732477" w14:textId="77777777" w:rsidR="000004D1" w:rsidRPr="008A15CD" w:rsidRDefault="000004D1" w:rsidP="000004D1">
            <w:pPr>
              <w:spacing w:after="60"/>
              <w:rPr>
                <w:rFonts w:asciiTheme="majorBidi" w:hAnsiTheme="majorBidi" w:cstheme="majorBidi"/>
                <w:noProof/>
                <w:lang w:eastAsia="en-GB"/>
              </w:rPr>
            </w:pPr>
            <w:r w:rsidRPr="008A15CD">
              <w:rPr>
                <w:rFonts w:asciiTheme="majorBidi" w:hAnsiTheme="majorBidi" w:cstheme="majorBidi"/>
                <w:noProof/>
                <w:lang w:eastAsia="zh-CN"/>
              </w:rPr>
              <w:drawing>
                <wp:inline distT="0" distB="0" distL="0" distR="0" wp14:anchorId="0D2ED8E3" wp14:editId="5943320A">
                  <wp:extent cx="1724188" cy="54346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EN-C-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5375" cy="543839"/>
                          </a:xfrm>
                          <a:prstGeom prst="rect">
                            <a:avLst/>
                          </a:prstGeom>
                        </pic:spPr>
                      </pic:pic>
                    </a:graphicData>
                  </a:graphic>
                </wp:inline>
              </w:drawing>
            </w:r>
          </w:p>
        </w:tc>
        <w:tc>
          <w:tcPr>
            <w:tcW w:w="6157" w:type="dxa"/>
            <w:vAlign w:val="center"/>
          </w:tcPr>
          <w:p w14:paraId="4A4AB189" w14:textId="56747C4F" w:rsidR="000004D1" w:rsidRPr="008A15CD" w:rsidRDefault="002C1915" w:rsidP="000004D1">
            <w:pPr>
              <w:spacing w:after="60"/>
              <w:rPr>
                <w:rFonts w:cstheme="minorHAnsi"/>
                <w:b/>
                <w:bCs/>
                <w:noProof/>
                <w:sz w:val="36"/>
                <w:szCs w:val="36"/>
                <w:lang w:eastAsia="en-GB"/>
              </w:rPr>
            </w:pPr>
            <w:r w:rsidRPr="008A15CD">
              <w:rPr>
                <w:rFonts w:cstheme="minorHAnsi"/>
                <w:b/>
                <w:bCs/>
                <w:noProof/>
                <w:sz w:val="36"/>
                <w:szCs w:val="36"/>
                <w:lang w:eastAsia="en-GB"/>
              </w:rPr>
              <w:t>Agreement for Performance of Work</w:t>
            </w:r>
            <w:r w:rsidR="008A15CD" w:rsidRPr="008A15CD">
              <w:rPr>
                <w:rStyle w:val="FootnoteReference"/>
                <w:rFonts w:cstheme="minorHAnsi"/>
                <w:b/>
                <w:bCs/>
                <w:noProof/>
                <w:sz w:val="36"/>
                <w:szCs w:val="36"/>
                <w:lang w:eastAsia="en-GB"/>
              </w:rPr>
              <w:footnoteReference w:id="1"/>
            </w:r>
            <w:r w:rsidR="008A15CD" w:rsidRPr="008A15CD">
              <w:rPr>
                <w:rFonts w:cstheme="minorHAnsi"/>
                <w:b/>
                <w:bCs/>
                <w:noProof/>
                <w:sz w:val="36"/>
                <w:szCs w:val="36"/>
                <w:lang w:eastAsia="en-GB"/>
              </w:rPr>
              <w:br/>
            </w:r>
            <w:r w:rsidR="004C6F25">
              <w:rPr>
                <w:rFonts w:cstheme="minorHAnsi"/>
                <w:noProof/>
                <w:sz w:val="24"/>
                <w:szCs w:val="24"/>
                <w:lang w:eastAsia="en-GB"/>
              </w:rPr>
              <w:t>Goods</w:t>
            </w:r>
          </w:p>
        </w:tc>
      </w:tr>
    </w:tbl>
    <w:p w14:paraId="749D3597" w14:textId="77777777" w:rsidR="000004D1" w:rsidRPr="008A15CD" w:rsidRDefault="000004D1" w:rsidP="000004D1">
      <w:pPr>
        <w:spacing w:after="60" w:line="240" w:lineRule="auto"/>
        <w:jc w:val="center"/>
        <w:rPr>
          <w:b/>
          <w:bCs/>
          <w:sz w:val="16"/>
          <w:szCs w:val="16"/>
        </w:rPr>
      </w:pPr>
    </w:p>
    <w:p w14:paraId="4E1DCB81" w14:textId="77777777" w:rsidR="00C05E37" w:rsidRPr="008A15CD" w:rsidRDefault="000004D1" w:rsidP="00C05E37">
      <w:pPr>
        <w:spacing w:after="60" w:line="240" w:lineRule="auto"/>
        <w:jc w:val="center"/>
        <w:rPr>
          <w:b/>
          <w:bCs/>
          <w:sz w:val="36"/>
          <w:szCs w:val="36"/>
        </w:rPr>
      </w:pPr>
      <w:r w:rsidRPr="008A15CD">
        <w:rPr>
          <w:b/>
          <w:bCs/>
          <w:sz w:val="36"/>
          <w:szCs w:val="36"/>
        </w:rPr>
        <w:t>Terms of Reference</w:t>
      </w:r>
    </w:p>
    <w:p w14:paraId="6814F232" w14:textId="77777777" w:rsidR="00C05E37" w:rsidRPr="008A15CD" w:rsidRDefault="00C05E37" w:rsidP="00C05E37">
      <w:pPr>
        <w:spacing w:after="60" w:line="240" w:lineRule="auto"/>
        <w:jc w:val="center"/>
        <w:rPr>
          <w:rFonts w:eastAsia="MS Gothic" w:cstheme="minorHAnsi"/>
        </w:rPr>
      </w:pPr>
    </w:p>
    <w:p w14:paraId="069C5C4F" w14:textId="77777777" w:rsidR="000004D1" w:rsidRPr="008A15CD" w:rsidRDefault="000004D1" w:rsidP="002C1915">
      <w:pPr>
        <w:spacing w:after="60" w:line="240" w:lineRule="auto"/>
        <w:rPr>
          <w:rFonts w:eastAsia="MS Gothic" w:cstheme="minorHAnsi"/>
        </w:rPr>
      </w:pPr>
      <w:r w:rsidRPr="008A15CD">
        <w:rPr>
          <w:rFonts w:eastAsia="MS Gothic" w:cstheme="minorHAnsi"/>
        </w:rPr>
        <w:t xml:space="preserve">This </w:t>
      </w:r>
      <w:r w:rsidR="002C1915" w:rsidRPr="008A15CD">
        <w:rPr>
          <w:rFonts w:eastAsia="MS Gothic" w:cstheme="minorHAnsi"/>
        </w:rPr>
        <w:t>Agreement for Performance of Work (APW)</w:t>
      </w:r>
      <w:r w:rsidR="00C05E37" w:rsidRPr="008A15CD">
        <w:rPr>
          <w:rFonts w:eastAsia="MS Gothic" w:cstheme="minorHAnsi"/>
        </w:rPr>
        <w:t xml:space="preserve"> is requested by</w:t>
      </w:r>
      <w:r w:rsidRPr="008A15CD">
        <w:rPr>
          <w:rFonts w:eastAsia="MS Gothic" w:cstheme="minorHAnsi"/>
        </w:rPr>
        <w:t>:</w:t>
      </w:r>
    </w:p>
    <w:tbl>
      <w:tblPr>
        <w:tblStyle w:val="TableGrid"/>
        <w:tblW w:w="0" w:type="auto"/>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958"/>
        <w:gridCol w:w="3902"/>
        <w:gridCol w:w="1542"/>
        <w:gridCol w:w="3339"/>
      </w:tblGrid>
      <w:tr w:rsidR="008A15CD" w:rsidRPr="008A15CD" w14:paraId="1E618819" w14:textId="77777777" w:rsidTr="009E56EF">
        <w:tc>
          <w:tcPr>
            <w:tcW w:w="959" w:type="dxa"/>
          </w:tcPr>
          <w:p w14:paraId="378DE4A5" w14:textId="77777777" w:rsidR="002C1915" w:rsidRPr="008A15CD" w:rsidRDefault="002C1915" w:rsidP="009E56EF">
            <w:pPr>
              <w:spacing w:after="60"/>
              <w:jc w:val="right"/>
              <w:rPr>
                <w:rFonts w:cstheme="minorHAnsi"/>
                <w:sz w:val="20"/>
                <w:szCs w:val="20"/>
              </w:rPr>
            </w:pPr>
            <w:r w:rsidRPr="008A15CD">
              <w:rPr>
                <w:rFonts w:cstheme="minorHAnsi"/>
                <w:sz w:val="20"/>
                <w:szCs w:val="20"/>
              </w:rPr>
              <w:t>Initiator:</w:t>
            </w:r>
          </w:p>
        </w:tc>
        <w:tc>
          <w:tcPr>
            <w:tcW w:w="3969" w:type="dxa"/>
          </w:tcPr>
          <w:p w14:paraId="59894C48" w14:textId="4445530A" w:rsidR="002C1915" w:rsidRPr="008A15CD" w:rsidRDefault="00B8414B" w:rsidP="009E56EF">
            <w:pPr>
              <w:spacing w:after="60"/>
              <w:rPr>
                <w:rFonts w:cstheme="minorHAnsi"/>
                <w:sz w:val="20"/>
                <w:szCs w:val="20"/>
              </w:rPr>
            </w:pPr>
            <w:r>
              <w:rPr>
                <w:rFonts w:cstheme="minorHAnsi"/>
                <w:sz w:val="20"/>
                <w:szCs w:val="20"/>
              </w:rPr>
              <w:t>Mr. Alex</w:t>
            </w:r>
            <w:r w:rsidR="00961D87">
              <w:rPr>
                <w:rFonts w:cstheme="minorHAnsi"/>
                <w:sz w:val="20"/>
                <w:szCs w:val="20"/>
              </w:rPr>
              <w:t>e</w:t>
            </w:r>
            <w:r>
              <w:rPr>
                <w:rFonts w:cstheme="minorHAnsi"/>
                <w:sz w:val="20"/>
                <w:szCs w:val="20"/>
              </w:rPr>
              <w:t xml:space="preserve">i </w:t>
            </w:r>
            <w:proofErr w:type="spellStart"/>
            <w:r>
              <w:rPr>
                <w:rFonts w:cstheme="minorHAnsi"/>
                <w:sz w:val="20"/>
                <w:szCs w:val="20"/>
              </w:rPr>
              <w:t>Ceban</w:t>
            </w:r>
            <w:proofErr w:type="spellEnd"/>
          </w:p>
        </w:tc>
        <w:tc>
          <w:tcPr>
            <w:tcW w:w="1559" w:type="dxa"/>
          </w:tcPr>
          <w:p w14:paraId="034044CB" w14:textId="77777777" w:rsidR="002C1915" w:rsidRPr="008A15CD" w:rsidRDefault="002C1915" w:rsidP="009E56EF">
            <w:pPr>
              <w:spacing w:after="60"/>
              <w:jc w:val="right"/>
              <w:rPr>
                <w:rFonts w:cstheme="minorHAnsi"/>
                <w:sz w:val="20"/>
                <w:szCs w:val="20"/>
              </w:rPr>
            </w:pPr>
            <w:r w:rsidRPr="008A15CD">
              <w:rPr>
                <w:rFonts w:cstheme="minorHAnsi"/>
                <w:sz w:val="20"/>
                <w:szCs w:val="20"/>
              </w:rPr>
              <w:t>Reg.#:</w:t>
            </w:r>
          </w:p>
        </w:tc>
        <w:tc>
          <w:tcPr>
            <w:tcW w:w="3402" w:type="dxa"/>
          </w:tcPr>
          <w:p w14:paraId="539BE308" w14:textId="77777777" w:rsidR="002C1915" w:rsidRPr="008A15CD" w:rsidRDefault="002C1915" w:rsidP="009E56EF">
            <w:pPr>
              <w:spacing w:after="60"/>
              <w:rPr>
                <w:rFonts w:cstheme="minorHAnsi"/>
                <w:sz w:val="20"/>
                <w:szCs w:val="20"/>
              </w:rPr>
            </w:pPr>
          </w:p>
        </w:tc>
      </w:tr>
      <w:tr w:rsidR="002C1915" w:rsidRPr="008A15CD" w14:paraId="7F429FAE" w14:textId="77777777" w:rsidTr="009E56EF">
        <w:tc>
          <w:tcPr>
            <w:tcW w:w="959" w:type="dxa"/>
          </w:tcPr>
          <w:p w14:paraId="1EAED790" w14:textId="15E98A67" w:rsidR="002C1915" w:rsidRPr="008A15CD" w:rsidRDefault="00B8414B" w:rsidP="009E56EF">
            <w:pPr>
              <w:spacing w:after="60"/>
              <w:jc w:val="right"/>
              <w:rPr>
                <w:rFonts w:cstheme="minorHAnsi"/>
                <w:sz w:val="20"/>
                <w:szCs w:val="20"/>
              </w:rPr>
            </w:pPr>
            <w:r>
              <w:rPr>
                <w:rFonts w:cstheme="minorHAnsi"/>
                <w:sz w:val="20"/>
                <w:szCs w:val="20"/>
              </w:rPr>
              <w:t>Country</w:t>
            </w:r>
            <w:r w:rsidR="002C1915" w:rsidRPr="008A15CD">
              <w:rPr>
                <w:rFonts w:cstheme="minorHAnsi"/>
                <w:sz w:val="20"/>
                <w:szCs w:val="20"/>
              </w:rPr>
              <w:t>:</w:t>
            </w:r>
          </w:p>
        </w:tc>
        <w:tc>
          <w:tcPr>
            <w:tcW w:w="3969" w:type="dxa"/>
          </w:tcPr>
          <w:p w14:paraId="349076CC" w14:textId="50E3AEA9" w:rsidR="002C1915" w:rsidRPr="008A15CD" w:rsidRDefault="00B8414B" w:rsidP="009E56EF">
            <w:pPr>
              <w:spacing w:after="60"/>
              <w:rPr>
                <w:rFonts w:cstheme="minorHAnsi"/>
                <w:sz w:val="20"/>
                <w:szCs w:val="20"/>
              </w:rPr>
            </w:pPr>
            <w:r>
              <w:rPr>
                <w:rFonts w:cstheme="minorHAnsi"/>
                <w:sz w:val="20"/>
                <w:szCs w:val="20"/>
              </w:rPr>
              <w:t>Country Office in Moldova</w:t>
            </w:r>
          </w:p>
        </w:tc>
        <w:tc>
          <w:tcPr>
            <w:tcW w:w="1559" w:type="dxa"/>
          </w:tcPr>
          <w:p w14:paraId="252A2E87" w14:textId="77777777" w:rsidR="002C1915" w:rsidRPr="008A15CD" w:rsidRDefault="002C1915" w:rsidP="009E56EF">
            <w:pPr>
              <w:spacing w:after="60"/>
              <w:jc w:val="right"/>
              <w:rPr>
                <w:rFonts w:cstheme="minorHAnsi"/>
                <w:sz w:val="20"/>
                <w:szCs w:val="20"/>
              </w:rPr>
            </w:pPr>
            <w:r w:rsidRPr="008A15CD">
              <w:rPr>
                <w:rFonts w:cstheme="minorHAnsi"/>
                <w:sz w:val="20"/>
                <w:szCs w:val="20"/>
              </w:rPr>
              <w:t>Cluster / Dpt.:</w:t>
            </w:r>
          </w:p>
        </w:tc>
        <w:tc>
          <w:tcPr>
            <w:tcW w:w="3402" w:type="dxa"/>
          </w:tcPr>
          <w:p w14:paraId="5E47B048" w14:textId="5F1898BF" w:rsidR="002C1915" w:rsidRPr="008A15CD" w:rsidRDefault="00B8414B" w:rsidP="009E56EF">
            <w:pPr>
              <w:spacing w:after="60"/>
              <w:rPr>
                <w:rFonts w:cstheme="minorHAnsi"/>
                <w:sz w:val="20"/>
                <w:szCs w:val="20"/>
              </w:rPr>
            </w:pPr>
            <w:r>
              <w:rPr>
                <w:rFonts w:cstheme="minorHAnsi"/>
                <w:sz w:val="20"/>
                <w:szCs w:val="20"/>
              </w:rPr>
              <w:t>N/A</w:t>
            </w:r>
          </w:p>
        </w:tc>
      </w:tr>
    </w:tbl>
    <w:p w14:paraId="39F4DB22" w14:textId="77777777" w:rsidR="000004D1" w:rsidRPr="008A15CD" w:rsidRDefault="000004D1" w:rsidP="000004D1">
      <w:pPr>
        <w:spacing w:after="60" w:line="240" w:lineRule="auto"/>
        <w:rPr>
          <w:rFonts w:cstheme="minorHAnsi"/>
        </w:rPr>
      </w:pPr>
    </w:p>
    <w:p w14:paraId="01878A30" w14:textId="77777777" w:rsidR="000004D1" w:rsidRPr="008A15CD" w:rsidRDefault="00B13252" w:rsidP="00CF48C5">
      <w:pPr>
        <w:pStyle w:val="ListParagraph"/>
        <w:numPr>
          <w:ilvl w:val="0"/>
          <w:numId w:val="1"/>
        </w:numPr>
        <w:spacing w:after="60" w:line="240" w:lineRule="auto"/>
        <w:rPr>
          <w:rFonts w:cstheme="minorHAnsi"/>
          <w:b/>
          <w:bCs/>
        </w:rPr>
      </w:pPr>
      <w:r w:rsidRPr="008A15CD">
        <w:rPr>
          <w:rFonts w:cstheme="minorHAnsi"/>
          <w:b/>
          <w:bCs/>
        </w:rPr>
        <w:t>*</w:t>
      </w:r>
      <w:r w:rsidR="00CF48C5">
        <w:rPr>
          <w:rFonts w:cstheme="minorHAnsi"/>
          <w:b/>
          <w:bCs/>
        </w:rPr>
        <w:t>Purpose</w:t>
      </w:r>
      <w:r w:rsidR="00DD12DB" w:rsidRPr="008A15CD">
        <w:rPr>
          <w:rFonts w:cstheme="minorHAnsi"/>
          <w:b/>
          <w:bCs/>
        </w:rPr>
        <w:t xml:space="preserve"> of the </w:t>
      </w:r>
      <w:r w:rsidR="002C1915" w:rsidRPr="008A15CD">
        <w:rPr>
          <w:rFonts w:cstheme="minorHAnsi"/>
          <w:b/>
          <w:bCs/>
        </w:rPr>
        <w:t>APW</w:t>
      </w:r>
    </w:p>
    <w:p w14:paraId="63013169" w14:textId="27365353" w:rsidR="000004D1" w:rsidRPr="00A3608D" w:rsidRDefault="0075541B" w:rsidP="001F3ED9">
      <w:pPr>
        <w:spacing w:after="0"/>
        <w:ind w:left="28"/>
        <w:rPr>
          <w:rFonts w:cstheme="minorHAnsi"/>
        </w:rPr>
      </w:pPr>
      <w:r w:rsidRPr="00A3608D">
        <w:rPr>
          <w:rFonts w:cstheme="minorHAnsi"/>
        </w:rPr>
        <w:t xml:space="preserve">To carry out procurement </w:t>
      </w:r>
      <w:r w:rsidR="00185403">
        <w:rPr>
          <w:rFonts w:cstheme="minorHAnsi"/>
        </w:rPr>
        <w:t xml:space="preserve">of </w:t>
      </w:r>
      <w:r w:rsidR="00F57EF4">
        <w:rPr>
          <w:rFonts w:cstheme="minorHAnsi"/>
        </w:rPr>
        <w:t>anaphylaxis</w:t>
      </w:r>
      <w:r w:rsidR="00532298">
        <w:rPr>
          <w:rFonts w:cstheme="minorHAnsi"/>
        </w:rPr>
        <w:t xml:space="preserve"> management kits for primary health care facilities involved in vaccination campaign against COVID-19 and routine ones.</w:t>
      </w:r>
      <w:r w:rsidR="0054217E">
        <w:rPr>
          <w:rFonts w:cstheme="minorHAnsi"/>
        </w:rPr>
        <w:t xml:space="preserve"> </w:t>
      </w:r>
    </w:p>
    <w:p w14:paraId="749B532A" w14:textId="77777777" w:rsidR="0075541B" w:rsidRPr="0075541B" w:rsidRDefault="0075541B" w:rsidP="0075541B">
      <w:pPr>
        <w:spacing w:after="0"/>
        <w:ind w:left="28"/>
        <w:rPr>
          <w:rFonts w:cstheme="minorHAnsi"/>
          <w:sz w:val="20"/>
          <w:szCs w:val="20"/>
        </w:rPr>
      </w:pPr>
    </w:p>
    <w:p w14:paraId="3FD17797" w14:textId="77777777" w:rsidR="000004D1" w:rsidRPr="008A15CD" w:rsidRDefault="00B13252" w:rsidP="000004D1">
      <w:pPr>
        <w:pStyle w:val="ListParagraph"/>
        <w:numPr>
          <w:ilvl w:val="0"/>
          <w:numId w:val="1"/>
        </w:numPr>
        <w:spacing w:after="60" w:line="240" w:lineRule="auto"/>
        <w:rPr>
          <w:rFonts w:cstheme="minorHAnsi"/>
          <w:b/>
          <w:bCs/>
        </w:rPr>
      </w:pPr>
      <w:r w:rsidRPr="008A15CD">
        <w:rPr>
          <w:rFonts w:cstheme="minorHAnsi"/>
          <w:b/>
          <w:bCs/>
        </w:rPr>
        <w:t>*</w:t>
      </w:r>
      <w:r w:rsidR="00DD12DB" w:rsidRPr="008A15CD">
        <w:rPr>
          <w:rFonts w:cstheme="minorHAnsi"/>
          <w:b/>
          <w:bCs/>
        </w:rPr>
        <w:t>Background</w:t>
      </w:r>
    </w:p>
    <w:p w14:paraId="0902B9FC" w14:textId="282DBA17" w:rsidR="00532298" w:rsidRDefault="00532298" w:rsidP="00532298">
      <w:pPr>
        <w:spacing w:after="60" w:line="240" w:lineRule="auto"/>
      </w:pPr>
      <w:r>
        <w:t xml:space="preserve">Preparedness and readiness for management of anaphylaxis and severe allergic </w:t>
      </w:r>
      <w:r w:rsidR="00BD76CC">
        <w:t>reactions</w:t>
      </w:r>
      <w:r>
        <w:t xml:space="preserve"> following immunization is crucial for each of the vaccination </w:t>
      </w:r>
      <w:proofErr w:type="spellStart"/>
      <w:r>
        <w:t>center</w:t>
      </w:r>
      <w:proofErr w:type="spellEnd"/>
      <w:r>
        <w:t xml:space="preserve"> or mobile team. Follow WHO recommendations and national guidelines or protocols for AEFI surveillance with accent of anaphylaxis reaction and, therefore, strengthen local capacity and management kits, should be done in a regular basis.</w:t>
      </w:r>
    </w:p>
    <w:p w14:paraId="63FB9FE8" w14:textId="48A5A1FB" w:rsidR="00532298" w:rsidRDefault="00532298" w:rsidP="00532298">
      <w:pPr>
        <w:spacing w:after="60" w:line="240" w:lineRule="auto"/>
      </w:pPr>
      <w:r>
        <w:t>Preparing for the potential management of Anaphylaxis after COVID-19 vaccination or routine one is critical.</w:t>
      </w:r>
    </w:p>
    <w:p w14:paraId="47327A4C" w14:textId="1544052F" w:rsidR="00532298" w:rsidRDefault="00532298" w:rsidP="00532298">
      <w:pPr>
        <w:spacing w:after="60" w:line="240" w:lineRule="auto"/>
      </w:pPr>
      <w:r>
        <w:t>Anaphylaxis is a serious, potentially life-threatening allergic reaction to foreign antigens; it has been proven to be causally associated with vaccines with an estimated frequency of 1.3 episodes per million doses of vaccine administered. Anaphylaxis is preventable in many cases and treatable in all. It should be anticipated in every vaccine.</w:t>
      </w:r>
    </w:p>
    <w:p w14:paraId="6ABF9D68" w14:textId="20403205" w:rsidR="00532298" w:rsidRDefault="00532298" w:rsidP="00532298">
      <w:pPr>
        <w:spacing w:after="60" w:line="240" w:lineRule="auto"/>
      </w:pPr>
      <w:r>
        <w:t xml:space="preserve">Vaccination locations that anticipate vaccinating large numbers of people (e.g., mass vaccination clinics) should plan adequate staffing and supplies for the assessment and potential management of anaphylaxis. Because anaphylaxis requires immediate treatment and response adequate kits should be in place. </w:t>
      </w:r>
    </w:p>
    <w:p w14:paraId="781B2157" w14:textId="2373B236" w:rsidR="00532298" w:rsidRDefault="00532298" w:rsidP="00532298">
      <w:pPr>
        <w:spacing w:after="60" w:line="240" w:lineRule="auto"/>
      </w:pPr>
      <w:r>
        <w:t xml:space="preserve">Improved management of anaphylaxis at a vaccination location is the main propose of the project. </w:t>
      </w:r>
      <w:r w:rsidR="00D6554A">
        <w:t xml:space="preserve">According to the national protocol for management of anaphylaxis </w:t>
      </w:r>
      <w:hyperlink r:id="rId9" w:history="1">
        <w:r w:rsidR="00D6554A" w:rsidRPr="00636178">
          <w:rPr>
            <w:rStyle w:val="Hyperlink"/>
          </w:rPr>
          <w:t>http://msmps.gov.md/wp-content/uploads/2020/06/5872-Shocul_anafilactic.pdf</w:t>
        </w:r>
      </w:hyperlink>
      <w:r w:rsidR="00D6554A">
        <w:t xml:space="preserve"> at each primary health care facility should be in place equipment for response. After the assessment conducted by Family Doctors Association, Ministry of Health sent a request to equip adequately the health care facilities involved in vaccination campaign. A prioritization and technical specifications of the equipment was done in a technical meeting in common with </w:t>
      </w:r>
      <w:proofErr w:type="spellStart"/>
      <w:r w:rsidR="00D6554A">
        <w:t>MoH</w:t>
      </w:r>
      <w:proofErr w:type="spellEnd"/>
      <w:r w:rsidR="00D6554A">
        <w:t xml:space="preserve">, Family Doctors Association, local coordinators of primary health care facilities and WHO CO. Each regional primary health care facility (292 HCF) should be equipped with following equipment: </w:t>
      </w:r>
      <w:r w:rsidR="00D6554A" w:rsidRPr="00D6554A">
        <w:t xml:space="preserve">balloon </w:t>
      </w:r>
      <w:proofErr w:type="spellStart"/>
      <w:r w:rsidR="00E5342E">
        <w:t>A</w:t>
      </w:r>
      <w:r w:rsidR="00D6554A" w:rsidRPr="00D6554A">
        <w:t>mb</w:t>
      </w:r>
      <w:r w:rsidR="00D6554A">
        <w:t>u</w:t>
      </w:r>
      <w:proofErr w:type="spellEnd"/>
      <w:r w:rsidR="00D6554A">
        <w:t>, p</w:t>
      </w:r>
      <w:r w:rsidR="00D6554A" w:rsidRPr="00D6554A">
        <w:t>eripheral vein catheterization kit</w:t>
      </w:r>
      <w:r w:rsidR="00D6554A">
        <w:t xml:space="preserve">, </w:t>
      </w:r>
      <w:proofErr w:type="spellStart"/>
      <w:r w:rsidR="00D6554A" w:rsidRPr="00D6554A">
        <w:t>Guedel</w:t>
      </w:r>
      <w:proofErr w:type="spellEnd"/>
      <w:r w:rsidR="00D6554A" w:rsidRPr="00D6554A">
        <w:t xml:space="preserve"> oropharyngeal pipe</w:t>
      </w:r>
      <w:r w:rsidR="00E5342E">
        <w:t xml:space="preserve"> and</w:t>
      </w:r>
      <w:r w:rsidR="00D6554A">
        <w:t xml:space="preserve"> o</w:t>
      </w:r>
      <w:r w:rsidR="00D6554A" w:rsidRPr="00D6554A">
        <w:t>xygen balloon</w:t>
      </w:r>
      <w:r w:rsidR="00E5342E">
        <w:t>.</w:t>
      </w:r>
    </w:p>
    <w:p w14:paraId="1560DCE9" w14:textId="77777777" w:rsidR="000004D1" w:rsidRPr="008A15CD" w:rsidRDefault="00B13252" w:rsidP="000004D1">
      <w:pPr>
        <w:pStyle w:val="ListParagraph"/>
        <w:numPr>
          <w:ilvl w:val="0"/>
          <w:numId w:val="1"/>
        </w:numPr>
        <w:spacing w:after="60" w:line="240" w:lineRule="auto"/>
        <w:rPr>
          <w:rFonts w:cstheme="minorHAnsi"/>
          <w:b/>
          <w:bCs/>
        </w:rPr>
      </w:pPr>
      <w:r w:rsidRPr="008A15CD">
        <w:rPr>
          <w:rFonts w:cstheme="minorHAnsi"/>
          <w:b/>
          <w:bCs/>
        </w:rPr>
        <w:t>*</w:t>
      </w:r>
      <w:r w:rsidR="000004D1" w:rsidRPr="008A15CD">
        <w:rPr>
          <w:rFonts w:cstheme="minorHAnsi"/>
          <w:b/>
          <w:bCs/>
        </w:rPr>
        <w:t xml:space="preserve">Planned timelines </w:t>
      </w:r>
      <w:r w:rsidR="000004D1" w:rsidRPr="008A15CD">
        <w:rPr>
          <w:rFonts w:cstheme="minorHAnsi"/>
        </w:rPr>
        <w:t>(subject to confirmation)</w:t>
      </w:r>
    </w:p>
    <w:p w14:paraId="7BE8DD54" w14:textId="1C10E9CF" w:rsidR="000004D1" w:rsidRPr="008A15CD" w:rsidRDefault="00D6554A" w:rsidP="000004D1">
      <w:pPr>
        <w:spacing w:after="60" w:line="240" w:lineRule="auto"/>
        <w:rPr>
          <w:rFonts w:cstheme="minorHAnsi"/>
        </w:rPr>
      </w:pPr>
      <w:r>
        <w:rPr>
          <w:rFonts w:cstheme="minorHAnsi"/>
        </w:rPr>
        <w:t>15</w:t>
      </w:r>
      <w:r w:rsidR="0054217E" w:rsidRPr="0054217E">
        <w:rPr>
          <w:rFonts w:cstheme="minorHAnsi"/>
          <w:vertAlign w:val="superscript"/>
        </w:rPr>
        <w:t>th</w:t>
      </w:r>
      <w:r w:rsidR="0054217E">
        <w:rPr>
          <w:rFonts w:cstheme="minorHAnsi"/>
        </w:rPr>
        <w:t xml:space="preserve"> </w:t>
      </w:r>
      <w:r w:rsidR="00B1375D">
        <w:rPr>
          <w:rFonts w:cstheme="minorHAnsi"/>
        </w:rPr>
        <w:t xml:space="preserve">November </w:t>
      </w:r>
      <w:r w:rsidR="0054217E">
        <w:rPr>
          <w:rFonts w:cstheme="minorHAnsi"/>
        </w:rPr>
        <w:t xml:space="preserve">– </w:t>
      </w:r>
      <w:r>
        <w:rPr>
          <w:rFonts w:cstheme="minorHAnsi"/>
        </w:rPr>
        <w:t>31</w:t>
      </w:r>
      <w:r w:rsidRPr="00D6554A">
        <w:rPr>
          <w:rFonts w:cstheme="minorHAnsi"/>
          <w:vertAlign w:val="superscript"/>
        </w:rPr>
        <w:t>st</w:t>
      </w:r>
      <w:r>
        <w:rPr>
          <w:rFonts w:cstheme="minorHAnsi"/>
        </w:rPr>
        <w:t xml:space="preserve"> </w:t>
      </w:r>
      <w:r w:rsidR="0054217E">
        <w:rPr>
          <w:rFonts w:cstheme="minorHAnsi"/>
        </w:rPr>
        <w:t>December</w:t>
      </w:r>
      <w:r w:rsidR="00AC164C">
        <w:rPr>
          <w:rFonts w:cstheme="minorHAnsi"/>
        </w:rPr>
        <w:t xml:space="preserve"> </w:t>
      </w:r>
      <w:r w:rsidR="007E6EA0">
        <w:rPr>
          <w:rFonts w:cstheme="minorHAnsi"/>
        </w:rPr>
        <w:t>202</w:t>
      </w:r>
      <w:r w:rsidR="00B1375D">
        <w:rPr>
          <w:rFonts w:cstheme="minorHAnsi"/>
        </w:rPr>
        <w:t>2</w:t>
      </w:r>
    </w:p>
    <w:p w14:paraId="2F7FD1EF" w14:textId="77777777" w:rsidR="00CF48C5" w:rsidRDefault="00CF48C5" w:rsidP="00CF48C5">
      <w:pPr>
        <w:pStyle w:val="ListParagraph"/>
        <w:spacing w:after="60" w:line="240" w:lineRule="auto"/>
        <w:ind w:left="360"/>
        <w:rPr>
          <w:rFonts w:cstheme="minorHAnsi"/>
          <w:b/>
          <w:bCs/>
        </w:rPr>
      </w:pPr>
    </w:p>
    <w:p w14:paraId="55A57F63" w14:textId="77777777" w:rsidR="000004D1" w:rsidRPr="008A15CD" w:rsidRDefault="0077203D" w:rsidP="000004D1">
      <w:pPr>
        <w:pStyle w:val="ListParagraph"/>
        <w:numPr>
          <w:ilvl w:val="0"/>
          <w:numId w:val="1"/>
        </w:numPr>
        <w:spacing w:after="60" w:line="240" w:lineRule="auto"/>
        <w:rPr>
          <w:rFonts w:cstheme="minorHAnsi"/>
          <w:b/>
          <w:bCs/>
        </w:rPr>
      </w:pPr>
      <w:r w:rsidRPr="008A15CD">
        <w:rPr>
          <w:rFonts w:cstheme="minorHAnsi"/>
          <w:b/>
          <w:bCs/>
        </w:rPr>
        <w:t>*</w:t>
      </w:r>
      <w:r w:rsidR="00C51175" w:rsidRPr="008A15CD">
        <w:rPr>
          <w:rFonts w:cstheme="minorHAnsi"/>
          <w:b/>
          <w:bCs/>
        </w:rPr>
        <w:t>Requirements</w:t>
      </w:r>
      <w:r w:rsidRPr="008A15CD">
        <w:rPr>
          <w:rFonts w:cstheme="minorHAnsi"/>
          <w:b/>
          <w:bCs/>
        </w:rPr>
        <w:t xml:space="preserve"> -</w:t>
      </w:r>
      <w:r w:rsidR="00C51175" w:rsidRPr="008A15CD">
        <w:rPr>
          <w:rFonts w:cstheme="minorHAnsi"/>
          <w:b/>
          <w:bCs/>
        </w:rPr>
        <w:t xml:space="preserve"> </w:t>
      </w:r>
      <w:r w:rsidR="00DD12DB" w:rsidRPr="008A15CD">
        <w:rPr>
          <w:rFonts w:cstheme="minorHAnsi"/>
          <w:b/>
          <w:bCs/>
        </w:rPr>
        <w:t>Work to be performed</w:t>
      </w:r>
    </w:p>
    <w:p w14:paraId="723E7F7F" w14:textId="5056BF64" w:rsidR="00D6554A" w:rsidRPr="00A3608D" w:rsidRDefault="00C51175" w:rsidP="00D6554A">
      <w:pPr>
        <w:spacing w:after="0"/>
        <w:ind w:left="28"/>
        <w:rPr>
          <w:rFonts w:cstheme="minorHAnsi"/>
        </w:rPr>
      </w:pPr>
      <w:r w:rsidRPr="008A15CD">
        <w:rPr>
          <w:rFonts w:cstheme="minorHAnsi"/>
          <w:u w:val="single"/>
        </w:rPr>
        <w:t>Objective</w:t>
      </w:r>
      <w:r w:rsidR="000004D1" w:rsidRPr="00FC4B20">
        <w:rPr>
          <w:rFonts w:cstheme="minorHAnsi"/>
          <w:sz w:val="20"/>
          <w:szCs w:val="20"/>
        </w:rPr>
        <w:t xml:space="preserve">: </w:t>
      </w:r>
      <w:r w:rsidR="00D6554A" w:rsidRPr="00A3608D">
        <w:rPr>
          <w:rFonts w:cstheme="minorHAnsi"/>
        </w:rPr>
        <w:t xml:space="preserve">To carry out procurement </w:t>
      </w:r>
      <w:r w:rsidR="00D6554A">
        <w:rPr>
          <w:rFonts w:cstheme="minorHAnsi"/>
        </w:rPr>
        <w:t xml:space="preserve">of anaphylaxis management kits for primary health care facilities involved in vaccination campaign against COVID-19 and routine ones. </w:t>
      </w:r>
    </w:p>
    <w:p w14:paraId="284CD6A1" w14:textId="62AE1D67" w:rsidR="0054217E" w:rsidRPr="00A3608D" w:rsidRDefault="0054217E" w:rsidP="0054217E">
      <w:pPr>
        <w:spacing w:after="0"/>
        <w:ind w:left="28"/>
        <w:rPr>
          <w:rFonts w:cstheme="minorHAnsi"/>
        </w:rPr>
      </w:pPr>
    </w:p>
    <w:p w14:paraId="1FABD93B" w14:textId="76B08DE7" w:rsidR="007E6EA0" w:rsidRPr="00A3608D" w:rsidRDefault="007E6EA0" w:rsidP="007E6EA0">
      <w:pPr>
        <w:spacing w:after="0"/>
        <w:ind w:left="28"/>
        <w:rPr>
          <w:rFonts w:cstheme="minorHAnsi"/>
        </w:rPr>
      </w:pPr>
    </w:p>
    <w:p w14:paraId="16FC65D4" w14:textId="3C608011" w:rsidR="00C51175" w:rsidRDefault="00B13252" w:rsidP="00C51175">
      <w:pPr>
        <w:pStyle w:val="ListParagraph"/>
        <w:numPr>
          <w:ilvl w:val="0"/>
          <w:numId w:val="1"/>
        </w:numPr>
        <w:spacing w:after="60" w:line="240" w:lineRule="auto"/>
        <w:rPr>
          <w:rFonts w:cstheme="minorHAnsi"/>
          <w:b/>
          <w:bCs/>
        </w:rPr>
      </w:pPr>
      <w:r w:rsidRPr="008A15CD">
        <w:rPr>
          <w:rFonts w:cstheme="minorHAnsi"/>
          <w:b/>
          <w:bCs/>
        </w:rPr>
        <w:t>*</w:t>
      </w:r>
      <w:r w:rsidR="00C51175" w:rsidRPr="008A15CD">
        <w:rPr>
          <w:rFonts w:cstheme="minorHAnsi"/>
          <w:b/>
          <w:bCs/>
        </w:rPr>
        <w:t xml:space="preserve">Requirements </w:t>
      </w:r>
    </w:p>
    <w:p w14:paraId="5D1DDFA5" w14:textId="5E19A41E" w:rsidR="00884E76" w:rsidRDefault="00884E76" w:rsidP="00884E76">
      <w:pPr>
        <w:pStyle w:val="ListParagraph"/>
        <w:spacing w:after="60" w:line="240" w:lineRule="auto"/>
        <w:ind w:left="360"/>
        <w:rPr>
          <w:rFonts w:cstheme="minorHAnsi"/>
          <w:b/>
          <w:bCs/>
        </w:rPr>
      </w:pPr>
    </w:p>
    <w:p w14:paraId="1F11033D" w14:textId="57DA7705" w:rsidR="00ED54FF" w:rsidRDefault="00F36895" w:rsidP="00B1375D">
      <w:pPr>
        <w:ind w:left="252"/>
        <w:jc w:val="both"/>
        <w:rPr>
          <w:rFonts w:cstheme="minorHAnsi"/>
          <w:b/>
        </w:rPr>
      </w:pPr>
      <w:r w:rsidRPr="009B4806">
        <w:rPr>
          <w:rFonts w:cstheme="minorHAnsi"/>
          <w:b/>
        </w:rPr>
        <w:t>Technical specifications</w:t>
      </w:r>
      <w:r w:rsidR="00B8414B" w:rsidRPr="009B4806">
        <w:rPr>
          <w:rFonts w:cstheme="minorHAnsi"/>
          <w:b/>
        </w:rPr>
        <w:t xml:space="preserve"> </w:t>
      </w:r>
    </w:p>
    <w:tbl>
      <w:tblPr>
        <w:tblW w:w="9735" w:type="dxa"/>
        <w:tblLook w:val="04A0" w:firstRow="1" w:lastRow="0" w:firstColumn="1" w:lastColumn="0" w:noHBand="0" w:noVBand="1"/>
      </w:tblPr>
      <w:tblGrid>
        <w:gridCol w:w="502"/>
        <w:gridCol w:w="2373"/>
        <w:gridCol w:w="5130"/>
        <w:gridCol w:w="665"/>
        <w:gridCol w:w="1065"/>
      </w:tblGrid>
      <w:tr w:rsidR="00061316" w:rsidRPr="004F1748" w14:paraId="779420A4" w14:textId="77777777" w:rsidTr="00061316">
        <w:trPr>
          <w:trHeight w:val="242"/>
        </w:trPr>
        <w:tc>
          <w:tcPr>
            <w:tcW w:w="50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DA52E2" w14:textId="77777777" w:rsidR="004F1748" w:rsidRPr="004F1748" w:rsidRDefault="004F1748" w:rsidP="004F1748">
            <w:pPr>
              <w:spacing w:after="0" w:line="240" w:lineRule="auto"/>
              <w:jc w:val="center"/>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w:t>
            </w:r>
          </w:p>
        </w:tc>
        <w:tc>
          <w:tcPr>
            <w:tcW w:w="2373" w:type="dxa"/>
            <w:tcBorders>
              <w:top w:val="single" w:sz="4" w:space="0" w:color="auto"/>
              <w:left w:val="nil"/>
              <w:bottom w:val="single" w:sz="4" w:space="0" w:color="auto"/>
              <w:right w:val="single" w:sz="4" w:space="0" w:color="auto"/>
            </w:tcBorders>
            <w:shd w:val="clear" w:color="000000" w:fill="D9D9D9"/>
            <w:hideMark/>
          </w:tcPr>
          <w:p w14:paraId="23AA5D3A" w14:textId="77777777" w:rsidR="004F1748" w:rsidRPr="004F1748" w:rsidRDefault="004F1748" w:rsidP="004F1748">
            <w:pPr>
              <w:spacing w:after="0" w:line="240" w:lineRule="auto"/>
              <w:rPr>
                <w:rFonts w:ascii="Calibri" w:eastAsia="Times New Roman" w:hAnsi="Calibri" w:cs="Calibri"/>
                <w:b/>
                <w:bCs/>
                <w:color w:val="000000"/>
                <w:sz w:val="16"/>
                <w:szCs w:val="16"/>
                <w:lang w:val="en-US"/>
              </w:rPr>
            </w:pPr>
            <w:r w:rsidRPr="004F1748">
              <w:rPr>
                <w:rFonts w:ascii="Calibri" w:eastAsia="Times New Roman" w:hAnsi="Calibri" w:cs="Calibri"/>
                <w:b/>
                <w:bCs/>
                <w:color w:val="000000"/>
                <w:sz w:val="16"/>
                <w:szCs w:val="16"/>
                <w:lang w:val="en-US"/>
              </w:rPr>
              <w:t>Item</w:t>
            </w:r>
          </w:p>
        </w:tc>
        <w:tc>
          <w:tcPr>
            <w:tcW w:w="5130" w:type="dxa"/>
            <w:tcBorders>
              <w:top w:val="single" w:sz="4" w:space="0" w:color="auto"/>
              <w:left w:val="nil"/>
              <w:bottom w:val="single" w:sz="4" w:space="0" w:color="auto"/>
              <w:right w:val="single" w:sz="4" w:space="0" w:color="auto"/>
            </w:tcBorders>
            <w:shd w:val="clear" w:color="000000" w:fill="D9D9D9"/>
            <w:vAlign w:val="center"/>
            <w:hideMark/>
          </w:tcPr>
          <w:p w14:paraId="59C74B97" w14:textId="77777777" w:rsidR="004F1748" w:rsidRPr="004F1748" w:rsidRDefault="004F1748" w:rsidP="004F1748">
            <w:pPr>
              <w:spacing w:after="0" w:line="240" w:lineRule="auto"/>
              <w:jc w:val="center"/>
              <w:rPr>
                <w:rFonts w:ascii="Calibri" w:eastAsia="Times New Roman" w:hAnsi="Calibri" w:cs="Calibri"/>
                <w:b/>
                <w:bCs/>
                <w:color w:val="000000"/>
                <w:sz w:val="16"/>
                <w:szCs w:val="16"/>
                <w:lang w:val="en-US"/>
              </w:rPr>
            </w:pPr>
            <w:r w:rsidRPr="004F1748">
              <w:rPr>
                <w:rFonts w:ascii="Calibri" w:eastAsia="Times New Roman" w:hAnsi="Calibri" w:cs="Calibri"/>
                <w:b/>
                <w:bCs/>
                <w:color w:val="000000"/>
                <w:sz w:val="16"/>
                <w:szCs w:val="16"/>
                <w:lang w:val="en-US"/>
              </w:rPr>
              <w:t>Technical specification</w:t>
            </w:r>
          </w:p>
        </w:tc>
        <w:tc>
          <w:tcPr>
            <w:tcW w:w="665" w:type="dxa"/>
            <w:tcBorders>
              <w:top w:val="single" w:sz="4" w:space="0" w:color="auto"/>
              <w:left w:val="nil"/>
              <w:bottom w:val="single" w:sz="4" w:space="0" w:color="auto"/>
              <w:right w:val="single" w:sz="4" w:space="0" w:color="auto"/>
            </w:tcBorders>
            <w:shd w:val="clear" w:color="000000" w:fill="D9D9D9"/>
            <w:vAlign w:val="center"/>
            <w:hideMark/>
          </w:tcPr>
          <w:p w14:paraId="4DABD1AC" w14:textId="77777777" w:rsidR="004F1748" w:rsidRPr="004F1748" w:rsidRDefault="004F1748" w:rsidP="004F1748">
            <w:pPr>
              <w:spacing w:after="0" w:line="240" w:lineRule="auto"/>
              <w:jc w:val="center"/>
              <w:rPr>
                <w:rFonts w:ascii="Calibri" w:eastAsia="Times New Roman" w:hAnsi="Calibri" w:cs="Calibri"/>
                <w:b/>
                <w:bCs/>
                <w:color w:val="000000"/>
                <w:sz w:val="16"/>
                <w:szCs w:val="16"/>
                <w:lang w:val="en-US"/>
              </w:rPr>
            </w:pPr>
            <w:r w:rsidRPr="004F1748">
              <w:rPr>
                <w:rFonts w:ascii="Calibri" w:eastAsia="Times New Roman" w:hAnsi="Calibri" w:cs="Calibri"/>
                <w:b/>
                <w:bCs/>
                <w:color w:val="000000"/>
                <w:sz w:val="16"/>
                <w:szCs w:val="16"/>
                <w:lang w:val="en-US"/>
              </w:rPr>
              <w:t>Unit</w:t>
            </w:r>
          </w:p>
        </w:tc>
        <w:tc>
          <w:tcPr>
            <w:tcW w:w="1065" w:type="dxa"/>
            <w:tcBorders>
              <w:top w:val="single" w:sz="4" w:space="0" w:color="auto"/>
              <w:left w:val="nil"/>
              <w:bottom w:val="single" w:sz="4" w:space="0" w:color="auto"/>
              <w:right w:val="single" w:sz="4" w:space="0" w:color="auto"/>
            </w:tcBorders>
            <w:shd w:val="clear" w:color="000000" w:fill="D9D9D9"/>
            <w:vAlign w:val="center"/>
            <w:hideMark/>
          </w:tcPr>
          <w:p w14:paraId="539789F3" w14:textId="77777777" w:rsidR="004F1748" w:rsidRPr="004F1748" w:rsidRDefault="004F1748" w:rsidP="004F1748">
            <w:pPr>
              <w:spacing w:after="0" w:line="240" w:lineRule="auto"/>
              <w:jc w:val="center"/>
              <w:rPr>
                <w:rFonts w:ascii="Calibri" w:eastAsia="Times New Roman" w:hAnsi="Calibri" w:cs="Calibri"/>
                <w:b/>
                <w:bCs/>
                <w:color w:val="000000"/>
                <w:sz w:val="16"/>
                <w:szCs w:val="16"/>
                <w:lang w:val="en-US"/>
              </w:rPr>
            </w:pPr>
            <w:r w:rsidRPr="004F1748">
              <w:rPr>
                <w:rFonts w:ascii="Calibri" w:eastAsia="Times New Roman" w:hAnsi="Calibri" w:cs="Calibri"/>
                <w:b/>
                <w:bCs/>
                <w:color w:val="000000"/>
                <w:sz w:val="16"/>
                <w:szCs w:val="16"/>
                <w:lang w:val="en-US"/>
              </w:rPr>
              <w:t>Quantity</w:t>
            </w:r>
          </w:p>
        </w:tc>
      </w:tr>
      <w:tr w:rsidR="00061316" w:rsidRPr="004F1748" w14:paraId="3CB9FCAD" w14:textId="77777777" w:rsidTr="00061316">
        <w:trPr>
          <w:trHeight w:val="1118"/>
        </w:trPr>
        <w:tc>
          <w:tcPr>
            <w:tcW w:w="502" w:type="dxa"/>
            <w:tcBorders>
              <w:top w:val="nil"/>
              <w:left w:val="single" w:sz="4" w:space="0" w:color="auto"/>
              <w:bottom w:val="single" w:sz="4" w:space="0" w:color="auto"/>
              <w:right w:val="single" w:sz="4" w:space="0" w:color="auto"/>
            </w:tcBorders>
            <w:shd w:val="clear" w:color="auto" w:fill="auto"/>
            <w:vAlign w:val="center"/>
            <w:hideMark/>
          </w:tcPr>
          <w:p w14:paraId="08B52CF7" w14:textId="77777777" w:rsidR="004F1748" w:rsidRPr="004F1748" w:rsidRDefault="004F1748" w:rsidP="004F1748">
            <w:pPr>
              <w:spacing w:after="0" w:line="240" w:lineRule="auto"/>
              <w:jc w:val="center"/>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1</w:t>
            </w:r>
          </w:p>
        </w:tc>
        <w:tc>
          <w:tcPr>
            <w:tcW w:w="2373" w:type="dxa"/>
            <w:tcBorders>
              <w:top w:val="single" w:sz="8" w:space="0" w:color="auto"/>
              <w:left w:val="single" w:sz="8" w:space="0" w:color="auto"/>
              <w:bottom w:val="single" w:sz="8" w:space="0" w:color="auto"/>
              <w:right w:val="single" w:sz="8" w:space="0" w:color="auto"/>
            </w:tcBorders>
            <w:shd w:val="clear" w:color="auto" w:fill="auto"/>
            <w:hideMark/>
          </w:tcPr>
          <w:p w14:paraId="298ABD19" w14:textId="77777777" w:rsidR="004F1748" w:rsidRPr="004F1748" w:rsidRDefault="004F1748" w:rsidP="004F1748">
            <w:pPr>
              <w:spacing w:after="0" w:line="240" w:lineRule="auto"/>
              <w:rPr>
                <w:rFonts w:ascii="Times New Roman" w:eastAsia="Times New Roman" w:hAnsi="Times New Roman" w:cs="Times New Roman"/>
                <w:b/>
                <w:bCs/>
                <w:color w:val="000000"/>
                <w:sz w:val="16"/>
                <w:szCs w:val="16"/>
                <w:lang w:val="en-US"/>
              </w:rPr>
            </w:pPr>
            <w:r w:rsidRPr="004F1748">
              <w:rPr>
                <w:rFonts w:ascii="Times New Roman" w:eastAsia="Times New Roman" w:hAnsi="Times New Roman" w:cs="Times New Roman"/>
                <w:b/>
                <w:bCs/>
                <w:color w:val="000000"/>
                <w:sz w:val="16"/>
                <w:szCs w:val="16"/>
                <w:lang w:val="en-US"/>
              </w:rPr>
              <w:t>Compressible self-refilling ventilation bag for</w:t>
            </w:r>
            <w:r w:rsidRPr="004F1748">
              <w:rPr>
                <w:rFonts w:ascii="Times New Roman" w:eastAsia="Times New Roman" w:hAnsi="Times New Roman" w:cs="Times New Roman"/>
                <w:b/>
                <w:bCs/>
                <w:color w:val="000000"/>
                <w:sz w:val="16"/>
                <w:szCs w:val="16"/>
                <w:lang w:val="en-US"/>
              </w:rPr>
              <w:br/>
              <w:t>adult, capacity &gt; 1300 mL, with masks (small,</w:t>
            </w:r>
            <w:r w:rsidRPr="004F1748">
              <w:rPr>
                <w:rFonts w:ascii="Times New Roman" w:eastAsia="Times New Roman" w:hAnsi="Times New Roman" w:cs="Times New Roman"/>
                <w:b/>
                <w:bCs/>
                <w:color w:val="000000"/>
                <w:sz w:val="16"/>
                <w:szCs w:val="16"/>
                <w:lang w:val="en-US"/>
              </w:rPr>
              <w:br/>
              <w:t>medium, large)</w:t>
            </w:r>
            <w:r w:rsidRPr="004F1748">
              <w:rPr>
                <w:rFonts w:ascii="Times New Roman" w:eastAsia="Times New Roman" w:hAnsi="Times New Roman" w:cs="Times New Roman"/>
                <w:b/>
                <w:bCs/>
                <w:color w:val="000000"/>
                <w:sz w:val="16"/>
                <w:szCs w:val="16"/>
                <w:lang w:val="en-US"/>
              </w:rPr>
              <w:br/>
              <w:t xml:space="preserve"> </w:t>
            </w:r>
          </w:p>
        </w:tc>
        <w:tc>
          <w:tcPr>
            <w:tcW w:w="5130" w:type="dxa"/>
            <w:tcBorders>
              <w:top w:val="nil"/>
              <w:left w:val="single" w:sz="4" w:space="0" w:color="auto"/>
              <w:bottom w:val="single" w:sz="4" w:space="0" w:color="auto"/>
              <w:right w:val="single" w:sz="4" w:space="0" w:color="auto"/>
            </w:tcBorders>
            <w:shd w:val="clear" w:color="auto" w:fill="auto"/>
            <w:hideMark/>
          </w:tcPr>
          <w:p w14:paraId="4A8538DB" w14:textId="77777777" w:rsidR="004F1748" w:rsidRPr="004F1748" w:rsidRDefault="004F1748" w:rsidP="004F1748">
            <w:pPr>
              <w:spacing w:after="0" w:line="240" w:lineRule="auto"/>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Compressible self-refilling ventilation bag for adult, capacity &gt; 1300 mL, with masks (small, medium, large)</w:t>
            </w:r>
            <w:r w:rsidRPr="004F1748">
              <w:rPr>
                <w:rFonts w:ascii="Calibri" w:eastAsia="Times New Roman" w:hAnsi="Calibri" w:cs="Calibri"/>
                <w:color w:val="000000"/>
                <w:sz w:val="16"/>
                <w:szCs w:val="16"/>
                <w:lang w:val="en-US"/>
              </w:rPr>
              <w:br/>
              <w:t xml:space="preserve">Transparent silicone and polysilicon resuscitation bags, fully autoclavable at min. 130 ° C. </w:t>
            </w:r>
            <w:r w:rsidRPr="004F1748">
              <w:rPr>
                <w:rFonts w:ascii="Calibri" w:eastAsia="Times New Roman" w:hAnsi="Calibri" w:cs="Calibri"/>
                <w:color w:val="000000"/>
                <w:sz w:val="16"/>
                <w:szCs w:val="16"/>
                <w:lang w:val="en-US"/>
              </w:rPr>
              <w:br/>
            </w:r>
            <w:proofErr w:type="spellStart"/>
            <w:r w:rsidRPr="004F1748">
              <w:rPr>
                <w:rFonts w:ascii="Calibri" w:eastAsia="Times New Roman" w:hAnsi="Calibri" w:cs="Calibri"/>
                <w:color w:val="000000"/>
                <w:sz w:val="16"/>
                <w:szCs w:val="16"/>
                <w:lang w:val="en-US"/>
              </w:rPr>
              <w:t>Ambu</w:t>
            </w:r>
            <w:proofErr w:type="spellEnd"/>
            <w:r w:rsidRPr="004F1748">
              <w:rPr>
                <w:rFonts w:ascii="Calibri" w:eastAsia="Times New Roman" w:hAnsi="Calibri" w:cs="Calibri"/>
                <w:color w:val="000000"/>
                <w:sz w:val="16"/>
                <w:szCs w:val="16"/>
                <w:lang w:val="en-US"/>
              </w:rPr>
              <w:t xml:space="preserve"> Mark IV or analogue</w:t>
            </w:r>
            <w:r w:rsidRPr="004F1748">
              <w:rPr>
                <w:rFonts w:ascii="Calibri" w:eastAsia="Times New Roman" w:hAnsi="Calibri" w:cs="Calibri"/>
                <w:color w:val="000000"/>
                <w:sz w:val="16"/>
                <w:szCs w:val="16"/>
                <w:lang w:val="en-US"/>
              </w:rPr>
              <w:br/>
              <w:t>Silicone Ball.</w:t>
            </w:r>
            <w:r w:rsidRPr="004F1748">
              <w:rPr>
                <w:rFonts w:ascii="Calibri" w:eastAsia="Times New Roman" w:hAnsi="Calibri" w:cs="Calibri"/>
                <w:color w:val="000000"/>
                <w:sz w:val="16"/>
                <w:szCs w:val="16"/>
                <w:lang w:val="en-US"/>
              </w:rPr>
              <w:br/>
              <w:t xml:space="preserve"> No latex. </w:t>
            </w:r>
            <w:r w:rsidRPr="004F1748">
              <w:rPr>
                <w:rFonts w:ascii="Calibri" w:eastAsia="Times New Roman" w:hAnsi="Calibri" w:cs="Calibri"/>
                <w:color w:val="000000"/>
                <w:sz w:val="16"/>
                <w:szCs w:val="16"/>
                <w:lang w:val="en-US"/>
              </w:rPr>
              <w:br/>
              <w:t>For adults.</w:t>
            </w:r>
          </w:p>
        </w:tc>
        <w:tc>
          <w:tcPr>
            <w:tcW w:w="665" w:type="dxa"/>
            <w:tcBorders>
              <w:top w:val="nil"/>
              <w:left w:val="nil"/>
              <w:bottom w:val="single" w:sz="4" w:space="0" w:color="auto"/>
              <w:right w:val="single" w:sz="4" w:space="0" w:color="auto"/>
            </w:tcBorders>
            <w:shd w:val="clear" w:color="auto" w:fill="auto"/>
            <w:vAlign w:val="center"/>
            <w:hideMark/>
          </w:tcPr>
          <w:p w14:paraId="73E2FC0D" w14:textId="77777777" w:rsidR="004F1748" w:rsidRPr="004F1748" w:rsidRDefault="004F1748" w:rsidP="004F1748">
            <w:pPr>
              <w:spacing w:after="0" w:line="240" w:lineRule="auto"/>
              <w:jc w:val="center"/>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pcs</w:t>
            </w:r>
          </w:p>
        </w:tc>
        <w:tc>
          <w:tcPr>
            <w:tcW w:w="1065" w:type="dxa"/>
            <w:tcBorders>
              <w:top w:val="nil"/>
              <w:left w:val="nil"/>
              <w:bottom w:val="single" w:sz="4" w:space="0" w:color="auto"/>
              <w:right w:val="single" w:sz="4" w:space="0" w:color="auto"/>
            </w:tcBorders>
            <w:shd w:val="clear" w:color="auto" w:fill="auto"/>
            <w:vAlign w:val="center"/>
            <w:hideMark/>
          </w:tcPr>
          <w:p w14:paraId="65EC7E66" w14:textId="77777777" w:rsidR="004F1748" w:rsidRPr="004F1748" w:rsidRDefault="004F1748" w:rsidP="004F1748">
            <w:pPr>
              <w:spacing w:after="0" w:line="240" w:lineRule="auto"/>
              <w:jc w:val="center"/>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300</w:t>
            </w:r>
          </w:p>
        </w:tc>
      </w:tr>
      <w:tr w:rsidR="00061316" w:rsidRPr="004F1748" w14:paraId="0F93FF64" w14:textId="77777777" w:rsidTr="00061316">
        <w:trPr>
          <w:trHeight w:val="1008"/>
        </w:trPr>
        <w:tc>
          <w:tcPr>
            <w:tcW w:w="502" w:type="dxa"/>
            <w:tcBorders>
              <w:top w:val="nil"/>
              <w:left w:val="single" w:sz="4" w:space="0" w:color="auto"/>
              <w:bottom w:val="single" w:sz="4" w:space="0" w:color="auto"/>
              <w:right w:val="single" w:sz="4" w:space="0" w:color="auto"/>
            </w:tcBorders>
            <w:shd w:val="clear" w:color="auto" w:fill="auto"/>
            <w:vAlign w:val="center"/>
            <w:hideMark/>
          </w:tcPr>
          <w:p w14:paraId="461F48B9" w14:textId="77777777" w:rsidR="004F1748" w:rsidRPr="004F1748" w:rsidRDefault="004F1748" w:rsidP="004F1748">
            <w:pPr>
              <w:spacing w:after="0" w:line="240" w:lineRule="auto"/>
              <w:jc w:val="center"/>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2</w:t>
            </w:r>
          </w:p>
        </w:tc>
        <w:tc>
          <w:tcPr>
            <w:tcW w:w="2373" w:type="dxa"/>
            <w:tcBorders>
              <w:top w:val="nil"/>
              <w:left w:val="single" w:sz="8" w:space="0" w:color="auto"/>
              <w:bottom w:val="single" w:sz="8" w:space="0" w:color="auto"/>
              <w:right w:val="single" w:sz="8" w:space="0" w:color="auto"/>
            </w:tcBorders>
            <w:shd w:val="clear" w:color="auto" w:fill="auto"/>
            <w:hideMark/>
          </w:tcPr>
          <w:p w14:paraId="3935ACCF" w14:textId="77777777" w:rsidR="004F1748" w:rsidRPr="004F1748" w:rsidRDefault="004F1748" w:rsidP="004F1748">
            <w:pPr>
              <w:spacing w:after="0" w:line="240" w:lineRule="auto"/>
              <w:rPr>
                <w:rFonts w:ascii="Times New Roman" w:eastAsia="Times New Roman" w:hAnsi="Times New Roman" w:cs="Times New Roman"/>
                <w:b/>
                <w:bCs/>
                <w:color w:val="000000"/>
                <w:sz w:val="16"/>
                <w:szCs w:val="16"/>
                <w:lang w:val="en-US"/>
              </w:rPr>
            </w:pPr>
            <w:r w:rsidRPr="004F1748">
              <w:rPr>
                <w:rFonts w:ascii="Times New Roman" w:eastAsia="Times New Roman" w:hAnsi="Times New Roman" w:cs="Times New Roman"/>
                <w:b/>
                <w:bCs/>
                <w:color w:val="000000"/>
                <w:sz w:val="16"/>
                <w:szCs w:val="16"/>
                <w:lang w:val="en-US"/>
              </w:rPr>
              <w:t xml:space="preserve">Bag-Valve-Mask Child Size, </w:t>
            </w:r>
            <w:proofErr w:type="spellStart"/>
            <w:r w:rsidRPr="004F1748">
              <w:rPr>
                <w:rFonts w:ascii="Times New Roman" w:eastAsia="Times New Roman" w:hAnsi="Times New Roman" w:cs="Times New Roman"/>
                <w:b/>
                <w:bCs/>
                <w:color w:val="000000"/>
                <w:sz w:val="16"/>
                <w:szCs w:val="16"/>
                <w:lang w:val="en-US"/>
              </w:rPr>
              <w:t>Ambu</w:t>
            </w:r>
            <w:proofErr w:type="spellEnd"/>
            <w:r w:rsidRPr="004F1748">
              <w:rPr>
                <w:rFonts w:ascii="Times New Roman" w:eastAsia="Times New Roman" w:hAnsi="Times New Roman" w:cs="Times New Roman"/>
                <w:b/>
                <w:bCs/>
                <w:color w:val="000000"/>
                <w:sz w:val="16"/>
                <w:szCs w:val="16"/>
                <w:lang w:val="en-US"/>
              </w:rPr>
              <w:t>, Mark IV Baby (300 ml), set with face masks</w:t>
            </w:r>
          </w:p>
        </w:tc>
        <w:tc>
          <w:tcPr>
            <w:tcW w:w="5130" w:type="dxa"/>
            <w:tcBorders>
              <w:top w:val="nil"/>
              <w:left w:val="single" w:sz="4" w:space="0" w:color="auto"/>
              <w:bottom w:val="single" w:sz="4" w:space="0" w:color="auto"/>
              <w:right w:val="single" w:sz="4" w:space="0" w:color="auto"/>
            </w:tcBorders>
            <w:shd w:val="clear" w:color="auto" w:fill="auto"/>
            <w:hideMark/>
          </w:tcPr>
          <w:p w14:paraId="5B33659A" w14:textId="77777777" w:rsidR="004F1748" w:rsidRPr="004F1748" w:rsidRDefault="004F1748" w:rsidP="004F1748">
            <w:pPr>
              <w:spacing w:after="0" w:line="240" w:lineRule="auto"/>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 xml:space="preserve">Bag-Valve-Mask Child Size, </w:t>
            </w:r>
            <w:proofErr w:type="spellStart"/>
            <w:r w:rsidRPr="004F1748">
              <w:rPr>
                <w:rFonts w:ascii="Calibri" w:eastAsia="Times New Roman" w:hAnsi="Calibri" w:cs="Calibri"/>
                <w:color w:val="000000"/>
                <w:sz w:val="16"/>
                <w:szCs w:val="16"/>
                <w:lang w:val="en-US"/>
              </w:rPr>
              <w:t>Ambu</w:t>
            </w:r>
            <w:proofErr w:type="spellEnd"/>
            <w:r w:rsidRPr="004F1748">
              <w:rPr>
                <w:rFonts w:ascii="Calibri" w:eastAsia="Times New Roman" w:hAnsi="Calibri" w:cs="Calibri"/>
                <w:color w:val="000000"/>
                <w:sz w:val="16"/>
                <w:szCs w:val="16"/>
                <w:lang w:val="en-US"/>
              </w:rPr>
              <w:t>, Mark IV Baby (300 ml), set with face masks</w:t>
            </w:r>
            <w:r w:rsidRPr="004F1748">
              <w:rPr>
                <w:rFonts w:ascii="Calibri" w:eastAsia="Times New Roman" w:hAnsi="Calibri" w:cs="Calibri"/>
                <w:color w:val="000000"/>
                <w:sz w:val="16"/>
                <w:szCs w:val="16"/>
                <w:lang w:val="en-US"/>
              </w:rPr>
              <w:br/>
              <w:t xml:space="preserve">Transparent silicone and polysilicon resuscitation bags, fully autoclavable at min. 130 ° C.  </w:t>
            </w:r>
            <w:r w:rsidRPr="004F1748">
              <w:rPr>
                <w:rFonts w:ascii="Calibri" w:eastAsia="Times New Roman" w:hAnsi="Calibri" w:cs="Calibri"/>
                <w:color w:val="000000"/>
                <w:sz w:val="16"/>
                <w:szCs w:val="16"/>
                <w:lang w:val="en-US"/>
              </w:rPr>
              <w:br/>
              <w:t>Silicone Ball.</w:t>
            </w:r>
            <w:r w:rsidRPr="004F1748">
              <w:rPr>
                <w:rFonts w:ascii="Calibri" w:eastAsia="Times New Roman" w:hAnsi="Calibri" w:cs="Calibri"/>
                <w:color w:val="000000"/>
                <w:sz w:val="16"/>
                <w:szCs w:val="16"/>
                <w:lang w:val="en-US"/>
              </w:rPr>
              <w:br/>
              <w:t xml:space="preserve"> No latex. </w:t>
            </w:r>
            <w:r w:rsidRPr="004F1748">
              <w:rPr>
                <w:rFonts w:ascii="Calibri" w:eastAsia="Times New Roman" w:hAnsi="Calibri" w:cs="Calibri"/>
                <w:color w:val="000000"/>
                <w:sz w:val="16"/>
                <w:szCs w:val="16"/>
                <w:lang w:val="en-US"/>
              </w:rPr>
              <w:br/>
              <w:t>For children.</w:t>
            </w:r>
          </w:p>
        </w:tc>
        <w:tc>
          <w:tcPr>
            <w:tcW w:w="665" w:type="dxa"/>
            <w:tcBorders>
              <w:top w:val="nil"/>
              <w:left w:val="nil"/>
              <w:bottom w:val="single" w:sz="4" w:space="0" w:color="auto"/>
              <w:right w:val="single" w:sz="4" w:space="0" w:color="auto"/>
            </w:tcBorders>
            <w:shd w:val="clear" w:color="auto" w:fill="auto"/>
            <w:vAlign w:val="center"/>
            <w:hideMark/>
          </w:tcPr>
          <w:p w14:paraId="5DCDAE11" w14:textId="77777777" w:rsidR="004F1748" w:rsidRPr="004F1748" w:rsidRDefault="004F1748" w:rsidP="004F1748">
            <w:pPr>
              <w:spacing w:after="0" w:line="240" w:lineRule="auto"/>
              <w:jc w:val="center"/>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pcs</w:t>
            </w:r>
          </w:p>
        </w:tc>
        <w:tc>
          <w:tcPr>
            <w:tcW w:w="1065" w:type="dxa"/>
            <w:tcBorders>
              <w:top w:val="nil"/>
              <w:left w:val="nil"/>
              <w:bottom w:val="single" w:sz="4" w:space="0" w:color="auto"/>
              <w:right w:val="single" w:sz="4" w:space="0" w:color="auto"/>
            </w:tcBorders>
            <w:shd w:val="clear" w:color="auto" w:fill="auto"/>
            <w:vAlign w:val="center"/>
            <w:hideMark/>
          </w:tcPr>
          <w:p w14:paraId="369BBC4F" w14:textId="77777777" w:rsidR="004F1748" w:rsidRPr="004F1748" w:rsidRDefault="004F1748" w:rsidP="004F1748">
            <w:pPr>
              <w:spacing w:after="0" w:line="240" w:lineRule="auto"/>
              <w:jc w:val="center"/>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300</w:t>
            </w:r>
          </w:p>
        </w:tc>
      </w:tr>
      <w:tr w:rsidR="00061316" w:rsidRPr="004F1748" w14:paraId="5F3D5797" w14:textId="77777777" w:rsidTr="00061316">
        <w:trPr>
          <w:trHeight w:val="3126"/>
        </w:trPr>
        <w:tc>
          <w:tcPr>
            <w:tcW w:w="502" w:type="dxa"/>
            <w:tcBorders>
              <w:top w:val="nil"/>
              <w:left w:val="single" w:sz="4" w:space="0" w:color="auto"/>
              <w:bottom w:val="single" w:sz="4" w:space="0" w:color="auto"/>
              <w:right w:val="single" w:sz="4" w:space="0" w:color="auto"/>
            </w:tcBorders>
            <w:shd w:val="clear" w:color="auto" w:fill="auto"/>
            <w:vAlign w:val="center"/>
            <w:hideMark/>
          </w:tcPr>
          <w:p w14:paraId="3BB946E4" w14:textId="77777777" w:rsidR="004F1748" w:rsidRPr="004F1748" w:rsidRDefault="004F1748" w:rsidP="004F1748">
            <w:pPr>
              <w:spacing w:after="0" w:line="240" w:lineRule="auto"/>
              <w:jc w:val="center"/>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3</w:t>
            </w:r>
          </w:p>
        </w:tc>
        <w:tc>
          <w:tcPr>
            <w:tcW w:w="2373" w:type="dxa"/>
            <w:tcBorders>
              <w:top w:val="nil"/>
              <w:left w:val="single" w:sz="8" w:space="0" w:color="auto"/>
              <w:bottom w:val="single" w:sz="8" w:space="0" w:color="auto"/>
              <w:right w:val="single" w:sz="8" w:space="0" w:color="auto"/>
            </w:tcBorders>
            <w:shd w:val="clear" w:color="auto" w:fill="auto"/>
            <w:hideMark/>
          </w:tcPr>
          <w:p w14:paraId="4DE16F12" w14:textId="77777777" w:rsidR="004F1748" w:rsidRPr="004F1748" w:rsidRDefault="004F1748" w:rsidP="004F1748">
            <w:pPr>
              <w:spacing w:after="0" w:line="240" w:lineRule="auto"/>
              <w:rPr>
                <w:rFonts w:ascii="Times New Roman" w:eastAsia="Times New Roman" w:hAnsi="Times New Roman" w:cs="Times New Roman"/>
                <w:b/>
                <w:bCs/>
                <w:color w:val="000000"/>
                <w:sz w:val="16"/>
                <w:szCs w:val="16"/>
                <w:lang w:val="en-US"/>
              </w:rPr>
            </w:pPr>
            <w:r w:rsidRPr="004F1748">
              <w:rPr>
                <w:rFonts w:ascii="Times New Roman" w:eastAsia="Times New Roman" w:hAnsi="Times New Roman" w:cs="Times New Roman"/>
                <w:b/>
                <w:bCs/>
                <w:color w:val="000000"/>
                <w:sz w:val="16"/>
                <w:szCs w:val="16"/>
                <w:lang w:val="en-US"/>
              </w:rPr>
              <w:t xml:space="preserve">Peripheral vein catheterization system including catheter, </w:t>
            </w:r>
            <w:proofErr w:type="spellStart"/>
            <w:r w:rsidRPr="004F1748">
              <w:rPr>
                <w:rFonts w:ascii="Times New Roman" w:eastAsia="Times New Roman" w:hAnsi="Times New Roman" w:cs="Times New Roman"/>
                <w:b/>
                <w:bCs/>
                <w:color w:val="000000"/>
                <w:sz w:val="16"/>
                <w:szCs w:val="16"/>
                <w:lang w:val="en-US"/>
              </w:rPr>
              <w:t>branula</w:t>
            </w:r>
            <w:proofErr w:type="spellEnd"/>
            <w:r w:rsidRPr="004F1748">
              <w:rPr>
                <w:rFonts w:ascii="Times New Roman" w:eastAsia="Times New Roman" w:hAnsi="Times New Roman" w:cs="Times New Roman"/>
                <w:b/>
                <w:bCs/>
                <w:color w:val="000000"/>
                <w:sz w:val="16"/>
                <w:szCs w:val="16"/>
                <w:lang w:val="en-US"/>
              </w:rPr>
              <w:t xml:space="preserve"> type Adult 16G (gray)</w:t>
            </w:r>
          </w:p>
        </w:tc>
        <w:tc>
          <w:tcPr>
            <w:tcW w:w="5130" w:type="dxa"/>
            <w:tcBorders>
              <w:top w:val="nil"/>
              <w:left w:val="single" w:sz="4" w:space="0" w:color="auto"/>
              <w:bottom w:val="single" w:sz="4" w:space="0" w:color="auto"/>
              <w:right w:val="single" w:sz="4" w:space="0" w:color="auto"/>
            </w:tcBorders>
            <w:shd w:val="clear" w:color="auto" w:fill="auto"/>
            <w:hideMark/>
          </w:tcPr>
          <w:p w14:paraId="5C6EE200" w14:textId="77777777" w:rsidR="004F1748" w:rsidRPr="004F1748" w:rsidRDefault="004F1748" w:rsidP="004F1748">
            <w:pPr>
              <w:spacing w:after="0" w:line="240" w:lineRule="auto"/>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Peripheral catheter and system</w:t>
            </w:r>
            <w:r w:rsidRPr="004F1748">
              <w:rPr>
                <w:rFonts w:ascii="Calibri" w:eastAsia="Times New Roman" w:hAnsi="Calibri" w:cs="Calibri"/>
                <w:color w:val="000000"/>
                <w:sz w:val="16"/>
                <w:szCs w:val="16"/>
                <w:lang w:val="en-US"/>
              </w:rPr>
              <w:br/>
              <w:t>Adult 16G (gray)</w:t>
            </w:r>
            <w:r w:rsidRPr="004F1748">
              <w:rPr>
                <w:rFonts w:ascii="Calibri" w:eastAsia="Times New Roman" w:hAnsi="Calibri" w:cs="Calibri"/>
                <w:color w:val="000000"/>
                <w:sz w:val="16"/>
                <w:szCs w:val="16"/>
                <w:lang w:val="en-US"/>
              </w:rPr>
              <w:br/>
            </w:r>
            <w:proofErr w:type="spellStart"/>
            <w:r w:rsidRPr="004F1748">
              <w:rPr>
                <w:rFonts w:ascii="Calibri" w:eastAsia="Times New Roman" w:hAnsi="Calibri" w:cs="Calibri"/>
                <w:color w:val="000000"/>
                <w:sz w:val="16"/>
                <w:szCs w:val="16"/>
                <w:lang w:val="en-US"/>
              </w:rPr>
              <w:t>Branula</w:t>
            </w:r>
            <w:proofErr w:type="spellEnd"/>
            <w:r w:rsidRPr="004F1748">
              <w:rPr>
                <w:rFonts w:ascii="Calibri" w:eastAsia="Times New Roman" w:hAnsi="Calibri" w:cs="Calibri"/>
                <w:color w:val="000000"/>
                <w:sz w:val="16"/>
                <w:szCs w:val="16"/>
                <w:lang w:val="en-US"/>
              </w:rPr>
              <w:t>-type peripheral catheter with self-contained protection system against accidental puncture and multi-access anti-reflux septum that prevents blood and medication from spilling.</w:t>
            </w:r>
            <w:r w:rsidRPr="004F1748">
              <w:rPr>
                <w:rFonts w:ascii="Calibri" w:eastAsia="Times New Roman" w:hAnsi="Calibri" w:cs="Calibri"/>
                <w:color w:val="000000"/>
                <w:sz w:val="16"/>
                <w:szCs w:val="16"/>
                <w:lang w:val="en-US"/>
              </w:rPr>
              <w:br/>
              <w:t>Cannula with short bevel, transparent blood reflux chamber with hydrophobic filter, polyurethane catheter with radiopaque lines.</w:t>
            </w:r>
            <w:r w:rsidRPr="004F1748">
              <w:rPr>
                <w:rFonts w:ascii="Calibri" w:eastAsia="Times New Roman" w:hAnsi="Calibri" w:cs="Calibri"/>
                <w:color w:val="000000"/>
                <w:sz w:val="16"/>
                <w:szCs w:val="16"/>
                <w:lang w:val="en-US"/>
              </w:rPr>
              <w:br/>
              <w:t>Polyurethane catheter with:</w:t>
            </w:r>
            <w:r w:rsidRPr="004F1748">
              <w:rPr>
                <w:rFonts w:ascii="Calibri" w:eastAsia="Times New Roman" w:hAnsi="Calibri" w:cs="Calibri"/>
                <w:color w:val="000000"/>
                <w:sz w:val="16"/>
                <w:szCs w:val="16"/>
                <w:lang w:val="en-US"/>
              </w:rPr>
              <w:br/>
              <w:t>• multi-access anti-reflux septum that prevents blood and medication from flowing;</w:t>
            </w:r>
            <w:r w:rsidRPr="004F1748">
              <w:rPr>
                <w:rFonts w:ascii="Calibri" w:eastAsia="Times New Roman" w:hAnsi="Calibri" w:cs="Calibri"/>
                <w:color w:val="000000"/>
                <w:sz w:val="16"/>
                <w:szCs w:val="16"/>
                <w:lang w:val="en-US"/>
              </w:rPr>
              <w:br/>
              <w:t>• conical tip that molds to the needle;</w:t>
            </w:r>
            <w:r w:rsidRPr="004F1748">
              <w:rPr>
                <w:rFonts w:ascii="Calibri" w:eastAsia="Times New Roman" w:hAnsi="Calibri" w:cs="Calibri"/>
                <w:color w:val="000000"/>
                <w:sz w:val="16"/>
                <w:szCs w:val="16"/>
                <w:lang w:val="en-US"/>
              </w:rPr>
              <w:br/>
              <w:t>• transparent walls of the catheter - rapid observation of the appearance of blood;</w:t>
            </w:r>
            <w:r w:rsidRPr="004F1748">
              <w:rPr>
                <w:rFonts w:ascii="Calibri" w:eastAsia="Times New Roman" w:hAnsi="Calibri" w:cs="Calibri"/>
                <w:color w:val="000000"/>
                <w:sz w:val="16"/>
                <w:szCs w:val="16"/>
                <w:lang w:val="en-US"/>
              </w:rPr>
              <w:br/>
              <w:t>• 4 opaque radio lines embedded in the catheter structure - to prevent the contact of barium sulphate with the vein intima, reducing the risk of phlebitis;</w:t>
            </w:r>
            <w:r w:rsidRPr="004F1748">
              <w:rPr>
                <w:rFonts w:ascii="Calibri" w:eastAsia="Times New Roman" w:hAnsi="Calibri" w:cs="Calibri"/>
                <w:color w:val="000000"/>
                <w:sz w:val="16"/>
                <w:szCs w:val="16"/>
                <w:lang w:val="en-US"/>
              </w:rPr>
              <w:br/>
              <w:t>• very smooth, non-thrombogenic catheter surface, which allows a much better sliding;</w:t>
            </w:r>
            <w:r w:rsidRPr="004F1748">
              <w:rPr>
                <w:rFonts w:ascii="Calibri" w:eastAsia="Times New Roman" w:hAnsi="Calibri" w:cs="Calibri"/>
                <w:color w:val="000000"/>
                <w:sz w:val="16"/>
                <w:szCs w:val="16"/>
                <w:lang w:val="en-US"/>
              </w:rPr>
              <w:br/>
              <w:t>• flexible attachment fins with anatomical inclination.</w:t>
            </w:r>
            <w:r w:rsidRPr="004F1748">
              <w:rPr>
                <w:rFonts w:ascii="Calibri" w:eastAsia="Times New Roman" w:hAnsi="Calibri" w:cs="Calibri"/>
                <w:color w:val="000000"/>
                <w:sz w:val="16"/>
                <w:szCs w:val="16"/>
                <w:lang w:val="en-US"/>
              </w:rPr>
              <w:br/>
              <w:t>Cannula with short bevel: to prevent perforation of the opposite wall of the vein - sharp and on the back "back cut bevel", which reduces trauma (reduces by 50% the force of pressure); has a shield against accidental punctures that self-activates when the cannula is removed from the catheter after catheterization.</w:t>
            </w:r>
          </w:p>
        </w:tc>
        <w:tc>
          <w:tcPr>
            <w:tcW w:w="665" w:type="dxa"/>
            <w:tcBorders>
              <w:top w:val="nil"/>
              <w:left w:val="nil"/>
              <w:bottom w:val="single" w:sz="4" w:space="0" w:color="auto"/>
              <w:right w:val="single" w:sz="4" w:space="0" w:color="auto"/>
            </w:tcBorders>
            <w:shd w:val="clear" w:color="auto" w:fill="auto"/>
            <w:vAlign w:val="center"/>
            <w:hideMark/>
          </w:tcPr>
          <w:p w14:paraId="24E0F963" w14:textId="77777777" w:rsidR="004F1748" w:rsidRPr="004F1748" w:rsidRDefault="004F1748" w:rsidP="004F1748">
            <w:pPr>
              <w:spacing w:after="0" w:line="240" w:lineRule="auto"/>
              <w:jc w:val="center"/>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pcs</w:t>
            </w:r>
          </w:p>
        </w:tc>
        <w:tc>
          <w:tcPr>
            <w:tcW w:w="1065" w:type="dxa"/>
            <w:tcBorders>
              <w:top w:val="nil"/>
              <w:left w:val="nil"/>
              <w:bottom w:val="single" w:sz="4" w:space="0" w:color="auto"/>
              <w:right w:val="single" w:sz="4" w:space="0" w:color="auto"/>
            </w:tcBorders>
            <w:shd w:val="clear" w:color="auto" w:fill="auto"/>
            <w:vAlign w:val="center"/>
            <w:hideMark/>
          </w:tcPr>
          <w:p w14:paraId="65CC0735" w14:textId="77777777" w:rsidR="004F1748" w:rsidRPr="004F1748" w:rsidRDefault="004F1748" w:rsidP="004F1748">
            <w:pPr>
              <w:spacing w:after="0" w:line="240" w:lineRule="auto"/>
              <w:jc w:val="center"/>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600</w:t>
            </w:r>
          </w:p>
        </w:tc>
      </w:tr>
      <w:tr w:rsidR="00061316" w:rsidRPr="004F1748" w14:paraId="46DDD38D" w14:textId="77777777" w:rsidTr="00061316">
        <w:trPr>
          <w:trHeight w:val="584"/>
        </w:trPr>
        <w:tc>
          <w:tcPr>
            <w:tcW w:w="502" w:type="dxa"/>
            <w:tcBorders>
              <w:top w:val="nil"/>
              <w:left w:val="single" w:sz="4" w:space="0" w:color="auto"/>
              <w:bottom w:val="single" w:sz="4" w:space="0" w:color="auto"/>
              <w:right w:val="single" w:sz="4" w:space="0" w:color="auto"/>
            </w:tcBorders>
            <w:shd w:val="clear" w:color="auto" w:fill="auto"/>
            <w:vAlign w:val="center"/>
            <w:hideMark/>
          </w:tcPr>
          <w:p w14:paraId="4F5625CE" w14:textId="77777777" w:rsidR="004F1748" w:rsidRPr="004F1748" w:rsidRDefault="004F1748" w:rsidP="004F1748">
            <w:pPr>
              <w:spacing w:after="0" w:line="240" w:lineRule="auto"/>
              <w:jc w:val="center"/>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4</w:t>
            </w:r>
          </w:p>
        </w:tc>
        <w:tc>
          <w:tcPr>
            <w:tcW w:w="2373" w:type="dxa"/>
            <w:tcBorders>
              <w:top w:val="nil"/>
              <w:left w:val="single" w:sz="8" w:space="0" w:color="auto"/>
              <w:bottom w:val="single" w:sz="8" w:space="0" w:color="auto"/>
              <w:right w:val="single" w:sz="8" w:space="0" w:color="auto"/>
            </w:tcBorders>
            <w:shd w:val="clear" w:color="auto" w:fill="auto"/>
            <w:hideMark/>
          </w:tcPr>
          <w:p w14:paraId="36F52388" w14:textId="77777777" w:rsidR="004F1748" w:rsidRPr="004F1748" w:rsidRDefault="004F1748" w:rsidP="004F1748">
            <w:pPr>
              <w:spacing w:after="0" w:line="240" w:lineRule="auto"/>
              <w:rPr>
                <w:rFonts w:ascii="Times New Roman" w:eastAsia="Times New Roman" w:hAnsi="Times New Roman" w:cs="Times New Roman"/>
                <w:b/>
                <w:bCs/>
                <w:color w:val="000000"/>
                <w:sz w:val="16"/>
                <w:szCs w:val="16"/>
                <w:lang w:val="en-US"/>
              </w:rPr>
            </w:pPr>
            <w:r w:rsidRPr="004F1748">
              <w:rPr>
                <w:rFonts w:ascii="Times New Roman" w:eastAsia="Times New Roman" w:hAnsi="Times New Roman" w:cs="Times New Roman"/>
                <w:b/>
                <w:bCs/>
                <w:color w:val="000000"/>
                <w:sz w:val="16"/>
                <w:szCs w:val="16"/>
                <w:lang w:val="en-US"/>
              </w:rPr>
              <w:t xml:space="preserve">Peripheral vein catheterization system including catheter, </w:t>
            </w:r>
            <w:proofErr w:type="spellStart"/>
            <w:r w:rsidRPr="004F1748">
              <w:rPr>
                <w:rFonts w:ascii="Times New Roman" w:eastAsia="Times New Roman" w:hAnsi="Times New Roman" w:cs="Times New Roman"/>
                <w:b/>
                <w:bCs/>
                <w:color w:val="000000"/>
                <w:sz w:val="16"/>
                <w:szCs w:val="16"/>
                <w:lang w:val="en-US"/>
              </w:rPr>
              <w:t>branula</w:t>
            </w:r>
            <w:proofErr w:type="spellEnd"/>
            <w:r w:rsidRPr="004F1748">
              <w:rPr>
                <w:rFonts w:ascii="Times New Roman" w:eastAsia="Times New Roman" w:hAnsi="Times New Roman" w:cs="Times New Roman"/>
                <w:b/>
                <w:bCs/>
                <w:color w:val="000000"/>
                <w:sz w:val="16"/>
                <w:szCs w:val="16"/>
                <w:lang w:val="en-US"/>
              </w:rPr>
              <w:t xml:space="preserve"> type </w:t>
            </w:r>
            <w:proofErr w:type="spellStart"/>
            <w:r w:rsidRPr="004F1748">
              <w:rPr>
                <w:rFonts w:ascii="Times New Roman" w:eastAsia="Times New Roman" w:hAnsi="Times New Roman" w:cs="Times New Roman"/>
                <w:b/>
                <w:bCs/>
                <w:color w:val="000000"/>
                <w:sz w:val="16"/>
                <w:szCs w:val="16"/>
                <w:lang w:val="en-US"/>
              </w:rPr>
              <w:t>Paediatric</w:t>
            </w:r>
            <w:proofErr w:type="spellEnd"/>
            <w:r w:rsidRPr="004F1748">
              <w:rPr>
                <w:rFonts w:ascii="Times New Roman" w:eastAsia="Times New Roman" w:hAnsi="Times New Roman" w:cs="Times New Roman"/>
                <w:b/>
                <w:bCs/>
                <w:color w:val="000000"/>
                <w:sz w:val="16"/>
                <w:szCs w:val="16"/>
                <w:lang w:val="en-US"/>
              </w:rPr>
              <w:t xml:space="preserve"> 22G (blue)</w:t>
            </w:r>
          </w:p>
        </w:tc>
        <w:tc>
          <w:tcPr>
            <w:tcW w:w="5130" w:type="dxa"/>
            <w:tcBorders>
              <w:top w:val="nil"/>
              <w:left w:val="single" w:sz="4" w:space="0" w:color="auto"/>
              <w:bottom w:val="single" w:sz="4" w:space="0" w:color="auto"/>
              <w:right w:val="single" w:sz="4" w:space="0" w:color="auto"/>
            </w:tcBorders>
            <w:shd w:val="clear" w:color="auto" w:fill="auto"/>
            <w:hideMark/>
          </w:tcPr>
          <w:p w14:paraId="7560EE1F" w14:textId="77777777" w:rsidR="004F1748" w:rsidRPr="004F1748" w:rsidRDefault="004F1748" w:rsidP="004F1748">
            <w:pPr>
              <w:spacing w:after="0" w:line="240" w:lineRule="auto"/>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Peripheral catheter and system</w:t>
            </w:r>
            <w:r w:rsidRPr="004F1748">
              <w:rPr>
                <w:rFonts w:ascii="Calibri" w:eastAsia="Times New Roman" w:hAnsi="Calibri" w:cs="Calibri"/>
                <w:color w:val="000000"/>
                <w:sz w:val="16"/>
                <w:szCs w:val="16"/>
                <w:lang w:val="en-US"/>
              </w:rPr>
              <w:br/>
            </w:r>
            <w:proofErr w:type="spellStart"/>
            <w:r w:rsidRPr="004F1748">
              <w:rPr>
                <w:rFonts w:ascii="Calibri" w:eastAsia="Times New Roman" w:hAnsi="Calibri" w:cs="Calibri"/>
                <w:color w:val="000000"/>
                <w:sz w:val="16"/>
                <w:szCs w:val="16"/>
                <w:lang w:val="en-US"/>
              </w:rPr>
              <w:t>Paediatric</w:t>
            </w:r>
            <w:proofErr w:type="spellEnd"/>
            <w:r w:rsidRPr="004F1748">
              <w:rPr>
                <w:rFonts w:ascii="Calibri" w:eastAsia="Times New Roman" w:hAnsi="Calibri" w:cs="Calibri"/>
                <w:color w:val="000000"/>
                <w:sz w:val="16"/>
                <w:szCs w:val="16"/>
                <w:lang w:val="en-US"/>
              </w:rPr>
              <w:t xml:space="preserve"> 22G (blue)</w:t>
            </w:r>
            <w:r w:rsidRPr="004F1748">
              <w:rPr>
                <w:rFonts w:ascii="Calibri" w:eastAsia="Times New Roman" w:hAnsi="Calibri" w:cs="Calibri"/>
                <w:color w:val="000000"/>
                <w:sz w:val="16"/>
                <w:szCs w:val="16"/>
                <w:lang w:val="en-US"/>
              </w:rPr>
              <w:br/>
            </w:r>
            <w:proofErr w:type="spellStart"/>
            <w:r w:rsidRPr="004F1748">
              <w:rPr>
                <w:rFonts w:ascii="Calibri" w:eastAsia="Times New Roman" w:hAnsi="Calibri" w:cs="Calibri"/>
                <w:color w:val="000000"/>
                <w:sz w:val="16"/>
                <w:szCs w:val="16"/>
                <w:lang w:val="en-US"/>
              </w:rPr>
              <w:t>Branula</w:t>
            </w:r>
            <w:proofErr w:type="spellEnd"/>
            <w:r w:rsidRPr="004F1748">
              <w:rPr>
                <w:rFonts w:ascii="Calibri" w:eastAsia="Times New Roman" w:hAnsi="Calibri" w:cs="Calibri"/>
                <w:color w:val="000000"/>
                <w:sz w:val="16"/>
                <w:szCs w:val="16"/>
                <w:lang w:val="en-US"/>
              </w:rPr>
              <w:t>-type peripheral catheter with self-contained protection system against accidental puncture and multi-access anti-reflux septum that prevents blood and medication from spilling.</w:t>
            </w:r>
            <w:r w:rsidRPr="004F1748">
              <w:rPr>
                <w:rFonts w:ascii="Calibri" w:eastAsia="Times New Roman" w:hAnsi="Calibri" w:cs="Calibri"/>
                <w:color w:val="000000"/>
                <w:sz w:val="16"/>
                <w:szCs w:val="16"/>
                <w:lang w:val="en-US"/>
              </w:rPr>
              <w:br/>
              <w:t>Cannula with short bevel, transparent blood reflux chamber with hydrophobic filter, polyurethane catheter with radiopaque lines.</w:t>
            </w:r>
            <w:r w:rsidRPr="004F1748">
              <w:rPr>
                <w:rFonts w:ascii="Calibri" w:eastAsia="Times New Roman" w:hAnsi="Calibri" w:cs="Calibri"/>
                <w:color w:val="000000"/>
                <w:sz w:val="16"/>
                <w:szCs w:val="16"/>
                <w:lang w:val="en-US"/>
              </w:rPr>
              <w:br/>
              <w:t>Polyurethane catheter with:</w:t>
            </w:r>
            <w:r w:rsidRPr="004F1748">
              <w:rPr>
                <w:rFonts w:ascii="Calibri" w:eastAsia="Times New Roman" w:hAnsi="Calibri" w:cs="Calibri"/>
                <w:color w:val="000000"/>
                <w:sz w:val="16"/>
                <w:szCs w:val="16"/>
                <w:lang w:val="en-US"/>
              </w:rPr>
              <w:br/>
              <w:t>• multi-access anti-reflux septum that prevents blood and medication from flowing;</w:t>
            </w:r>
            <w:r w:rsidRPr="004F1748">
              <w:rPr>
                <w:rFonts w:ascii="Calibri" w:eastAsia="Times New Roman" w:hAnsi="Calibri" w:cs="Calibri"/>
                <w:color w:val="000000"/>
                <w:sz w:val="16"/>
                <w:szCs w:val="16"/>
                <w:lang w:val="en-US"/>
              </w:rPr>
              <w:br/>
              <w:t>• conical tip that molds to the needle;</w:t>
            </w:r>
            <w:r w:rsidRPr="004F1748">
              <w:rPr>
                <w:rFonts w:ascii="Calibri" w:eastAsia="Times New Roman" w:hAnsi="Calibri" w:cs="Calibri"/>
                <w:color w:val="000000"/>
                <w:sz w:val="16"/>
                <w:szCs w:val="16"/>
                <w:lang w:val="en-US"/>
              </w:rPr>
              <w:br/>
              <w:t>• transparent walls of the catheter - rapid observation of the appearance of blood;</w:t>
            </w:r>
            <w:r w:rsidRPr="004F1748">
              <w:rPr>
                <w:rFonts w:ascii="Calibri" w:eastAsia="Times New Roman" w:hAnsi="Calibri" w:cs="Calibri"/>
                <w:color w:val="000000"/>
                <w:sz w:val="16"/>
                <w:szCs w:val="16"/>
                <w:lang w:val="en-US"/>
              </w:rPr>
              <w:br/>
              <w:t>• 4 opaque radio lines embedded in the catheter structure - to prevent the contact of barium sulphate with the vein intima, reducing the risk of phlebitis;</w:t>
            </w:r>
            <w:r w:rsidRPr="004F1748">
              <w:rPr>
                <w:rFonts w:ascii="Calibri" w:eastAsia="Times New Roman" w:hAnsi="Calibri" w:cs="Calibri"/>
                <w:color w:val="000000"/>
                <w:sz w:val="16"/>
                <w:szCs w:val="16"/>
                <w:lang w:val="en-US"/>
              </w:rPr>
              <w:br/>
              <w:t>• very smooth, non-thrombogenic catheter surface, which allows a much better sliding;</w:t>
            </w:r>
            <w:r w:rsidRPr="004F1748">
              <w:rPr>
                <w:rFonts w:ascii="Calibri" w:eastAsia="Times New Roman" w:hAnsi="Calibri" w:cs="Calibri"/>
                <w:color w:val="000000"/>
                <w:sz w:val="16"/>
                <w:szCs w:val="16"/>
                <w:lang w:val="en-US"/>
              </w:rPr>
              <w:br/>
              <w:t>• flexible attachment fins with anatomical inclination.</w:t>
            </w:r>
            <w:r w:rsidRPr="004F1748">
              <w:rPr>
                <w:rFonts w:ascii="Calibri" w:eastAsia="Times New Roman" w:hAnsi="Calibri" w:cs="Calibri"/>
                <w:color w:val="000000"/>
                <w:sz w:val="16"/>
                <w:szCs w:val="16"/>
                <w:lang w:val="en-US"/>
              </w:rPr>
              <w:br/>
              <w:t>Cannula with short bevel: to prevent perforation of the opposite wall of the vein - sharp and on the back "back cut bevel", which reduces trauma (reduces by 50% the force of pressure); has a shield against accidental punctures that self-activates when the cannula is removed from the catheter after catheterization.</w:t>
            </w:r>
          </w:p>
        </w:tc>
        <w:tc>
          <w:tcPr>
            <w:tcW w:w="665" w:type="dxa"/>
            <w:tcBorders>
              <w:top w:val="nil"/>
              <w:left w:val="nil"/>
              <w:bottom w:val="single" w:sz="4" w:space="0" w:color="auto"/>
              <w:right w:val="single" w:sz="4" w:space="0" w:color="auto"/>
            </w:tcBorders>
            <w:shd w:val="clear" w:color="auto" w:fill="auto"/>
            <w:vAlign w:val="center"/>
            <w:hideMark/>
          </w:tcPr>
          <w:p w14:paraId="229C13AC" w14:textId="77777777" w:rsidR="004F1748" w:rsidRPr="004F1748" w:rsidRDefault="004F1748" w:rsidP="004F1748">
            <w:pPr>
              <w:spacing w:after="0" w:line="240" w:lineRule="auto"/>
              <w:jc w:val="center"/>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pcs</w:t>
            </w:r>
          </w:p>
        </w:tc>
        <w:tc>
          <w:tcPr>
            <w:tcW w:w="1065" w:type="dxa"/>
            <w:tcBorders>
              <w:top w:val="nil"/>
              <w:left w:val="nil"/>
              <w:bottom w:val="single" w:sz="4" w:space="0" w:color="auto"/>
              <w:right w:val="single" w:sz="4" w:space="0" w:color="auto"/>
            </w:tcBorders>
            <w:shd w:val="clear" w:color="auto" w:fill="auto"/>
            <w:vAlign w:val="center"/>
            <w:hideMark/>
          </w:tcPr>
          <w:p w14:paraId="58AB836D" w14:textId="77777777" w:rsidR="004F1748" w:rsidRPr="004F1748" w:rsidRDefault="004F1748" w:rsidP="004F1748">
            <w:pPr>
              <w:spacing w:after="0" w:line="240" w:lineRule="auto"/>
              <w:jc w:val="center"/>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600</w:t>
            </w:r>
          </w:p>
        </w:tc>
      </w:tr>
      <w:tr w:rsidR="00061316" w:rsidRPr="004F1748" w14:paraId="4415C437" w14:textId="77777777" w:rsidTr="00061316">
        <w:trPr>
          <w:trHeight w:val="458"/>
        </w:trPr>
        <w:tc>
          <w:tcPr>
            <w:tcW w:w="502" w:type="dxa"/>
            <w:tcBorders>
              <w:top w:val="nil"/>
              <w:left w:val="single" w:sz="4" w:space="0" w:color="auto"/>
              <w:bottom w:val="single" w:sz="4" w:space="0" w:color="auto"/>
              <w:right w:val="single" w:sz="4" w:space="0" w:color="auto"/>
            </w:tcBorders>
            <w:shd w:val="clear" w:color="auto" w:fill="auto"/>
            <w:vAlign w:val="center"/>
            <w:hideMark/>
          </w:tcPr>
          <w:p w14:paraId="470991BA" w14:textId="77777777" w:rsidR="004F1748" w:rsidRPr="004F1748" w:rsidRDefault="004F1748" w:rsidP="004F1748">
            <w:pPr>
              <w:spacing w:after="0" w:line="240" w:lineRule="auto"/>
              <w:jc w:val="center"/>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5</w:t>
            </w:r>
          </w:p>
        </w:tc>
        <w:tc>
          <w:tcPr>
            <w:tcW w:w="2373" w:type="dxa"/>
            <w:tcBorders>
              <w:top w:val="nil"/>
              <w:left w:val="single" w:sz="8" w:space="0" w:color="auto"/>
              <w:bottom w:val="single" w:sz="8" w:space="0" w:color="auto"/>
              <w:right w:val="single" w:sz="8" w:space="0" w:color="auto"/>
            </w:tcBorders>
            <w:shd w:val="clear" w:color="auto" w:fill="auto"/>
            <w:hideMark/>
          </w:tcPr>
          <w:p w14:paraId="55286DAD" w14:textId="77777777" w:rsidR="004F1748" w:rsidRPr="004F1748" w:rsidRDefault="004F1748" w:rsidP="004F1748">
            <w:pPr>
              <w:spacing w:after="0" w:line="240" w:lineRule="auto"/>
              <w:rPr>
                <w:rFonts w:ascii="Times New Roman" w:eastAsia="Times New Roman" w:hAnsi="Times New Roman" w:cs="Times New Roman"/>
                <w:b/>
                <w:bCs/>
                <w:color w:val="000000"/>
                <w:sz w:val="16"/>
                <w:szCs w:val="16"/>
                <w:lang w:val="en-US"/>
              </w:rPr>
            </w:pPr>
            <w:r w:rsidRPr="004F1748">
              <w:rPr>
                <w:rFonts w:ascii="Times New Roman" w:eastAsia="Times New Roman" w:hAnsi="Times New Roman" w:cs="Times New Roman"/>
                <w:b/>
                <w:bCs/>
                <w:color w:val="000000"/>
                <w:sz w:val="16"/>
                <w:szCs w:val="16"/>
                <w:lang w:val="en-US"/>
              </w:rPr>
              <w:t>Catheter fixing plaster</w:t>
            </w:r>
          </w:p>
        </w:tc>
        <w:tc>
          <w:tcPr>
            <w:tcW w:w="5130" w:type="dxa"/>
            <w:tcBorders>
              <w:top w:val="nil"/>
              <w:left w:val="single" w:sz="4" w:space="0" w:color="auto"/>
              <w:bottom w:val="single" w:sz="4" w:space="0" w:color="auto"/>
              <w:right w:val="single" w:sz="4" w:space="0" w:color="auto"/>
            </w:tcBorders>
            <w:shd w:val="clear" w:color="auto" w:fill="auto"/>
            <w:hideMark/>
          </w:tcPr>
          <w:p w14:paraId="0B046F46" w14:textId="77777777" w:rsidR="004F1748" w:rsidRPr="004F1748" w:rsidRDefault="004F1748" w:rsidP="004F1748">
            <w:pPr>
              <w:spacing w:after="0" w:line="240" w:lineRule="auto"/>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Breathable, Sticky time long</w:t>
            </w:r>
            <w:r w:rsidRPr="004F1748">
              <w:rPr>
                <w:rFonts w:ascii="Calibri" w:eastAsia="Times New Roman" w:hAnsi="Calibri" w:cs="Calibri"/>
                <w:color w:val="000000"/>
                <w:sz w:val="16"/>
                <w:szCs w:val="16"/>
                <w:lang w:val="en-US"/>
              </w:rPr>
              <w:br/>
              <w:t>Elasticity, waterproof</w:t>
            </w:r>
            <w:r w:rsidRPr="004F1748">
              <w:rPr>
                <w:rFonts w:ascii="Calibri" w:eastAsia="Times New Roman" w:hAnsi="Calibri" w:cs="Calibri"/>
                <w:color w:val="000000"/>
                <w:sz w:val="16"/>
                <w:szCs w:val="16"/>
                <w:lang w:val="en-US"/>
              </w:rPr>
              <w:br/>
              <w:t xml:space="preserve">Hypoallergenic and proper viscidity </w:t>
            </w:r>
          </w:p>
        </w:tc>
        <w:tc>
          <w:tcPr>
            <w:tcW w:w="665" w:type="dxa"/>
            <w:tcBorders>
              <w:top w:val="nil"/>
              <w:left w:val="nil"/>
              <w:bottom w:val="single" w:sz="4" w:space="0" w:color="auto"/>
              <w:right w:val="single" w:sz="4" w:space="0" w:color="auto"/>
            </w:tcBorders>
            <w:shd w:val="clear" w:color="auto" w:fill="auto"/>
            <w:vAlign w:val="center"/>
            <w:hideMark/>
          </w:tcPr>
          <w:p w14:paraId="442D99B6" w14:textId="77777777" w:rsidR="004F1748" w:rsidRPr="004F1748" w:rsidRDefault="004F1748" w:rsidP="004F1748">
            <w:pPr>
              <w:spacing w:after="0" w:line="240" w:lineRule="auto"/>
              <w:jc w:val="center"/>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pcs</w:t>
            </w:r>
          </w:p>
        </w:tc>
        <w:tc>
          <w:tcPr>
            <w:tcW w:w="1065" w:type="dxa"/>
            <w:tcBorders>
              <w:top w:val="nil"/>
              <w:left w:val="nil"/>
              <w:bottom w:val="single" w:sz="4" w:space="0" w:color="auto"/>
              <w:right w:val="single" w:sz="4" w:space="0" w:color="auto"/>
            </w:tcBorders>
            <w:shd w:val="clear" w:color="auto" w:fill="auto"/>
            <w:vAlign w:val="center"/>
            <w:hideMark/>
          </w:tcPr>
          <w:p w14:paraId="246EA752" w14:textId="77777777" w:rsidR="004F1748" w:rsidRPr="004F1748" w:rsidRDefault="004F1748" w:rsidP="004F1748">
            <w:pPr>
              <w:spacing w:after="0" w:line="240" w:lineRule="auto"/>
              <w:jc w:val="center"/>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1200</w:t>
            </w:r>
          </w:p>
        </w:tc>
      </w:tr>
      <w:tr w:rsidR="00061316" w:rsidRPr="004F1748" w14:paraId="5B37B07F" w14:textId="77777777" w:rsidTr="00061316">
        <w:trPr>
          <w:trHeight w:val="482"/>
        </w:trPr>
        <w:tc>
          <w:tcPr>
            <w:tcW w:w="502" w:type="dxa"/>
            <w:tcBorders>
              <w:top w:val="nil"/>
              <w:left w:val="single" w:sz="4" w:space="0" w:color="auto"/>
              <w:bottom w:val="single" w:sz="4" w:space="0" w:color="auto"/>
              <w:right w:val="single" w:sz="4" w:space="0" w:color="auto"/>
            </w:tcBorders>
            <w:shd w:val="clear" w:color="auto" w:fill="auto"/>
            <w:vAlign w:val="center"/>
            <w:hideMark/>
          </w:tcPr>
          <w:p w14:paraId="12153A24" w14:textId="77777777" w:rsidR="004F1748" w:rsidRPr="004F1748" w:rsidRDefault="004F1748" w:rsidP="004F1748">
            <w:pPr>
              <w:spacing w:after="0" w:line="240" w:lineRule="auto"/>
              <w:jc w:val="center"/>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lastRenderedPageBreak/>
              <w:t>6</w:t>
            </w:r>
          </w:p>
        </w:tc>
        <w:tc>
          <w:tcPr>
            <w:tcW w:w="2373" w:type="dxa"/>
            <w:tcBorders>
              <w:top w:val="nil"/>
              <w:left w:val="single" w:sz="8" w:space="0" w:color="auto"/>
              <w:bottom w:val="single" w:sz="8" w:space="0" w:color="auto"/>
              <w:right w:val="single" w:sz="8" w:space="0" w:color="auto"/>
            </w:tcBorders>
            <w:shd w:val="clear" w:color="auto" w:fill="auto"/>
            <w:hideMark/>
          </w:tcPr>
          <w:p w14:paraId="5364277B" w14:textId="77777777" w:rsidR="004F1748" w:rsidRPr="004F1748" w:rsidRDefault="004F1748" w:rsidP="004F1748">
            <w:pPr>
              <w:spacing w:after="0" w:line="240" w:lineRule="auto"/>
              <w:rPr>
                <w:rFonts w:ascii="Times New Roman" w:eastAsia="Times New Roman" w:hAnsi="Times New Roman" w:cs="Times New Roman"/>
                <w:b/>
                <w:bCs/>
                <w:color w:val="000000"/>
                <w:sz w:val="16"/>
                <w:szCs w:val="16"/>
                <w:lang w:val="en-US"/>
              </w:rPr>
            </w:pPr>
            <w:r w:rsidRPr="004F1748">
              <w:rPr>
                <w:rFonts w:ascii="Times New Roman" w:eastAsia="Times New Roman" w:hAnsi="Times New Roman" w:cs="Times New Roman"/>
                <w:b/>
                <w:bCs/>
                <w:color w:val="000000"/>
                <w:sz w:val="16"/>
                <w:szCs w:val="16"/>
                <w:lang w:val="en-US"/>
              </w:rPr>
              <w:t xml:space="preserve">Set </w:t>
            </w:r>
            <w:proofErr w:type="spellStart"/>
            <w:r w:rsidRPr="004F1748">
              <w:rPr>
                <w:rFonts w:ascii="Times New Roman" w:eastAsia="Times New Roman" w:hAnsi="Times New Roman" w:cs="Times New Roman"/>
                <w:b/>
                <w:bCs/>
                <w:color w:val="000000"/>
                <w:sz w:val="16"/>
                <w:szCs w:val="16"/>
                <w:lang w:val="en-US"/>
              </w:rPr>
              <w:t>Guedel</w:t>
            </w:r>
            <w:proofErr w:type="spellEnd"/>
            <w:r w:rsidRPr="004F1748">
              <w:rPr>
                <w:rFonts w:ascii="Times New Roman" w:eastAsia="Times New Roman" w:hAnsi="Times New Roman" w:cs="Times New Roman"/>
                <w:b/>
                <w:bCs/>
                <w:color w:val="000000"/>
                <w:sz w:val="16"/>
                <w:szCs w:val="16"/>
                <w:lang w:val="en-US"/>
              </w:rPr>
              <w:t xml:space="preserve"> oropharyngeal airway</w:t>
            </w:r>
          </w:p>
        </w:tc>
        <w:tc>
          <w:tcPr>
            <w:tcW w:w="5130" w:type="dxa"/>
            <w:tcBorders>
              <w:top w:val="nil"/>
              <w:left w:val="single" w:sz="4" w:space="0" w:color="auto"/>
              <w:bottom w:val="single" w:sz="4" w:space="0" w:color="auto"/>
              <w:right w:val="single" w:sz="4" w:space="0" w:color="auto"/>
            </w:tcBorders>
            <w:shd w:val="clear" w:color="auto" w:fill="auto"/>
            <w:hideMark/>
          </w:tcPr>
          <w:p w14:paraId="444B808F" w14:textId="77777777" w:rsidR="004F1748" w:rsidRPr="004F1748" w:rsidRDefault="004F1748" w:rsidP="004F1748">
            <w:pPr>
              <w:spacing w:after="0" w:line="240" w:lineRule="auto"/>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Material: PVC for medical use</w:t>
            </w:r>
            <w:r w:rsidRPr="004F1748">
              <w:rPr>
                <w:rFonts w:ascii="Calibri" w:eastAsia="Times New Roman" w:hAnsi="Calibri" w:cs="Calibri"/>
                <w:color w:val="000000"/>
                <w:sz w:val="16"/>
                <w:szCs w:val="16"/>
                <w:lang w:val="en-US"/>
              </w:rPr>
              <w:br/>
              <w:t>Length: set of various sizes, both adult and pediatric 40mm - 120mm</w:t>
            </w:r>
          </w:p>
        </w:tc>
        <w:tc>
          <w:tcPr>
            <w:tcW w:w="665" w:type="dxa"/>
            <w:tcBorders>
              <w:top w:val="nil"/>
              <w:left w:val="nil"/>
              <w:bottom w:val="single" w:sz="4" w:space="0" w:color="auto"/>
              <w:right w:val="single" w:sz="4" w:space="0" w:color="auto"/>
            </w:tcBorders>
            <w:shd w:val="clear" w:color="auto" w:fill="auto"/>
            <w:vAlign w:val="center"/>
            <w:hideMark/>
          </w:tcPr>
          <w:p w14:paraId="1F8FD6DA" w14:textId="77777777" w:rsidR="004F1748" w:rsidRPr="004F1748" w:rsidRDefault="004F1748" w:rsidP="004F1748">
            <w:pPr>
              <w:spacing w:after="0" w:line="240" w:lineRule="auto"/>
              <w:jc w:val="center"/>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pcs</w:t>
            </w:r>
          </w:p>
        </w:tc>
        <w:tc>
          <w:tcPr>
            <w:tcW w:w="1065" w:type="dxa"/>
            <w:tcBorders>
              <w:top w:val="nil"/>
              <w:left w:val="nil"/>
              <w:bottom w:val="single" w:sz="4" w:space="0" w:color="auto"/>
              <w:right w:val="single" w:sz="4" w:space="0" w:color="auto"/>
            </w:tcBorders>
            <w:shd w:val="clear" w:color="auto" w:fill="auto"/>
            <w:vAlign w:val="center"/>
            <w:hideMark/>
          </w:tcPr>
          <w:p w14:paraId="6C32280F" w14:textId="77777777" w:rsidR="004F1748" w:rsidRPr="004F1748" w:rsidRDefault="004F1748" w:rsidP="004F1748">
            <w:pPr>
              <w:spacing w:after="0" w:line="240" w:lineRule="auto"/>
              <w:jc w:val="center"/>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300</w:t>
            </w:r>
          </w:p>
        </w:tc>
      </w:tr>
      <w:tr w:rsidR="00061316" w:rsidRPr="004F1748" w14:paraId="7374A9F1" w14:textId="77777777" w:rsidTr="00061316">
        <w:trPr>
          <w:trHeight w:val="209"/>
        </w:trPr>
        <w:tc>
          <w:tcPr>
            <w:tcW w:w="502" w:type="dxa"/>
            <w:tcBorders>
              <w:top w:val="nil"/>
              <w:left w:val="single" w:sz="4" w:space="0" w:color="auto"/>
              <w:bottom w:val="single" w:sz="4" w:space="0" w:color="auto"/>
              <w:right w:val="single" w:sz="4" w:space="0" w:color="auto"/>
            </w:tcBorders>
            <w:shd w:val="clear" w:color="auto" w:fill="auto"/>
            <w:vAlign w:val="center"/>
            <w:hideMark/>
          </w:tcPr>
          <w:p w14:paraId="027AEB75" w14:textId="77777777" w:rsidR="004F1748" w:rsidRPr="004F1748" w:rsidRDefault="004F1748" w:rsidP="004F1748">
            <w:pPr>
              <w:spacing w:after="0" w:line="240" w:lineRule="auto"/>
              <w:jc w:val="center"/>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7</w:t>
            </w:r>
          </w:p>
        </w:tc>
        <w:tc>
          <w:tcPr>
            <w:tcW w:w="2373" w:type="dxa"/>
            <w:tcBorders>
              <w:top w:val="nil"/>
              <w:left w:val="single" w:sz="8" w:space="0" w:color="auto"/>
              <w:bottom w:val="single" w:sz="8" w:space="0" w:color="auto"/>
              <w:right w:val="single" w:sz="8" w:space="0" w:color="auto"/>
            </w:tcBorders>
            <w:shd w:val="clear" w:color="auto" w:fill="auto"/>
            <w:hideMark/>
          </w:tcPr>
          <w:p w14:paraId="40A78986" w14:textId="77777777" w:rsidR="004F1748" w:rsidRPr="004F1748" w:rsidRDefault="004F1748" w:rsidP="004F1748">
            <w:pPr>
              <w:spacing w:after="0" w:line="240" w:lineRule="auto"/>
              <w:rPr>
                <w:rFonts w:ascii="Times New Roman" w:eastAsia="Times New Roman" w:hAnsi="Times New Roman" w:cs="Times New Roman"/>
                <w:b/>
                <w:bCs/>
                <w:color w:val="000000"/>
                <w:sz w:val="16"/>
                <w:szCs w:val="16"/>
                <w:lang w:val="en-US"/>
              </w:rPr>
            </w:pPr>
            <w:r w:rsidRPr="004F1748">
              <w:rPr>
                <w:rFonts w:ascii="Times New Roman" w:eastAsia="Times New Roman" w:hAnsi="Times New Roman" w:cs="Times New Roman"/>
                <w:b/>
                <w:bCs/>
                <w:color w:val="000000"/>
                <w:sz w:val="16"/>
                <w:szCs w:val="16"/>
                <w:lang w:val="en-US"/>
              </w:rPr>
              <w:t xml:space="preserve">Set Nasopharyngeal airway </w:t>
            </w:r>
          </w:p>
        </w:tc>
        <w:tc>
          <w:tcPr>
            <w:tcW w:w="5130" w:type="dxa"/>
            <w:tcBorders>
              <w:top w:val="nil"/>
              <w:left w:val="single" w:sz="4" w:space="0" w:color="auto"/>
              <w:bottom w:val="single" w:sz="4" w:space="0" w:color="auto"/>
              <w:right w:val="single" w:sz="4" w:space="0" w:color="auto"/>
            </w:tcBorders>
            <w:shd w:val="clear" w:color="auto" w:fill="auto"/>
            <w:hideMark/>
          </w:tcPr>
          <w:p w14:paraId="76539EFD" w14:textId="77777777" w:rsidR="004F1748" w:rsidRPr="004F1748" w:rsidRDefault="004F1748" w:rsidP="004F1748">
            <w:pPr>
              <w:spacing w:after="0" w:line="240" w:lineRule="auto"/>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 xml:space="preserve">Set of various sizes, both adult and pediatric </w:t>
            </w:r>
          </w:p>
        </w:tc>
        <w:tc>
          <w:tcPr>
            <w:tcW w:w="665" w:type="dxa"/>
            <w:tcBorders>
              <w:top w:val="nil"/>
              <w:left w:val="nil"/>
              <w:bottom w:val="single" w:sz="4" w:space="0" w:color="auto"/>
              <w:right w:val="single" w:sz="4" w:space="0" w:color="auto"/>
            </w:tcBorders>
            <w:shd w:val="clear" w:color="auto" w:fill="auto"/>
            <w:vAlign w:val="center"/>
            <w:hideMark/>
          </w:tcPr>
          <w:p w14:paraId="0107416E" w14:textId="77777777" w:rsidR="004F1748" w:rsidRPr="004F1748" w:rsidRDefault="004F1748" w:rsidP="004F1748">
            <w:pPr>
              <w:spacing w:after="0" w:line="240" w:lineRule="auto"/>
              <w:jc w:val="center"/>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pcs</w:t>
            </w:r>
          </w:p>
        </w:tc>
        <w:tc>
          <w:tcPr>
            <w:tcW w:w="1065" w:type="dxa"/>
            <w:tcBorders>
              <w:top w:val="nil"/>
              <w:left w:val="nil"/>
              <w:bottom w:val="single" w:sz="4" w:space="0" w:color="auto"/>
              <w:right w:val="single" w:sz="4" w:space="0" w:color="auto"/>
            </w:tcBorders>
            <w:shd w:val="clear" w:color="auto" w:fill="auto"/>
            <w:vAlign w:val="center"/>
            <w:hideMark/>
          </w:tcPr>
          <w:p w14:paraId="0E65D3A2" w14:textId="77777777" w:rsidR="004F1748" w:rsidRPr="004F1748" w:rsidRDefault="004F1748" w:rsidP="004F1748">
            <w:pPr>
              <w:spacing w:after="0" w:line="240" w:lineRule="auto"/>
              <w:jc w:val="center"/>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300</w:t>
            </w:r>
          </w:p>
        </w:tc>
      </w:tr>
      <w:tr w:rsidR="00061316" w:rsidRPr="004F1748" w14:paraId="3383BC68" w14:textId="77777777" w:rsidTr="00061316">
        <w:trPr>
          <w:trHeight w:val="636"/>
        </w:trPr>
        <w:tc>
          <w:tcPr>
            <w:tcW w:w="502" w:type="dxa"/>
            <w:tcBorders>
              <w:top w:val="nil"/>
              <w:left w:val="single" w:sz="4" w:space="0" w:color="auto"/>
              <w:bottom w:val="single" w:sz="4" w:space="0" w:color="auto"/>
              <w:right w:val="single" w:sz="4" w:space="0" w:color="auto"/>
            </w:tcBorders>
            <w:shd w:val="clear" w:color="auto" w:fill="auto"/>
            <w:vAlign w:val="center"/>
            <w:hideMark/>
          </w:tcPr>
          <w:p w14:paraId="5DA881D1" w14:textId="77777777" w:rsidR="004F1748" w:rsidRPr="004F1748" w:rsidRDefault="004F1748" w:rsidP="004F1748">
            <w:pPr>
              <w:spacing w:after="0" w:line="240" w:lineRule="auto"/>
              <w:jc w:val="center"/>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8</w:t>
            </w:r>
          </w:p>
        </w:tc>
        <w:tc>
          <w:tcPr>
            <w:tcW w:w="2373" w:type="dxa"/>
            <w:tcBorders>
              <w:top w:val="nil"/>
              <w:left w:val="single" w:sz="8" w:space="0" w:color="auto"/>
              <w:bottom w:val="single" w:sz="4" w:space="0" w:color="auto"/>
              <w:right w:val="single" w:sz="8" w:space="0" w:color="auto"/>
            </w:tcBorders>
            <w:shd w:val="clear" w:color="auto" w:fill="auto"/>
            <w:hideMark/>
          </w:tcPr>
          <w:p w14:paraId="24890984" w14:textId="77777777" w:rsidR="004F1748" w:rsidRPr="004F1748" w:rsidRDefault="004F1748" w:rsidP="004F1748">
            <w:pPr>
              <w:spacing w:after="0" w:line="240" w:lineRule="auto"/>
              <w:rPr>
                <w:rFonts w:ascii="Times New Roman" w:eastAsia="Times New Roman" w:hAnsi="Times New Roman" w:cs="Times New Roman"/>
                <w:b/>
                <w:bCs/>
                <w:color w:val="000000"/>
                <w:sz w:val="16"/>
                <w:szCs w:val="16"/>
                <w:lang w:val="en-US"/>
              </w:rPr>
            </w:pPr>
            <w:r w:rsidRPr="004F1748">
              <w:rPr>
                <w:rFonts w:ascii="Times New Roman" w:eastAsia="Times New Roman" w:hAnsi="Times New Roman" w:cs="Times New Roman"/>
                <w:b/>
                <w:bCs/>
                <w:color w:val="000000"/>
                <w:sz w:val="16"/>
                <w:szCs w:val="16"/>
                <w:lang w:val="en-US"/>
              </w:rPr>
              <w:t>Oxygen cylinder</w:t>
            </w:r>
          </w:p>
        </w:tc>
        <w:tc>
          <w:tcPr>
            <w:tcW w:w="5130" w:type="dxa"/>
            <w:tcBorders>
              <w:top w:val="nil"/>
              <w:left w:val="single" w:sz="4" w:space="0" w:color="auto"/>
              <w:bottom w:val="single" w:sz="4" w:space="0" w:color="auto"/>
              <w:right w:val="single" w:sz="4" w:space="0" w:color="auto"/>
            </w:tcBorders>
            <w:shd w:val="clear" w:color="auto" w:fill="auto"/>
            <w:hideMark/>
          </w:tcPr>
          <w:p w14:paraId="383ED795" w14:textId="77777777" w:rsidR="004F1748" w:rsidRPr="004F1748" w:rsidRDefault="004F1748" w:rsidP="004F1748">
            <w:pPr>
              <w:spacing w:after="0" w:line="240" w:lineRule="auto"/>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Volume: 2.0 – 3.0 litters</w:t>
            </w:r>
            <w:r w:rsidRPr="004F1748">
              <w:rPr>
                <w:rFonts w:ascii="Calibri" w:eastAsia="Times New Roman" w:hAnsi="Calibri" w:cs="Calibri"/>
                <w:color w:val="000000"/>
                <w:sz w:val="16"/>
                <w:szCs w:val="16"/>
                <w:lang w:val="en-US"/>
              </w:rPr>
              <w:br/>
              <w:t>Tested steel cylinder with residual pressure valve</w:t>
            </w:r>
            <w:r w:rsidRPr="004F1748">
              <w:rPr>
                <w:rFonts w:ascii="Calibri" w:eastAsia="Times New Roman" w:hAnsi="Calibri" w:cs="Calibri"/>
                <w:color w:val="000000"/>
                <w:sz w:val="16"/>
                <w:szCs w:val="16"/>
                <w:lang w:val="en-US"/>
              </w:rPr>
              <w:br/>
              <w:t>Bottle diameter: min.100 mm</w:t>
            </w:r>
            <w:r w:rsidRPr="004F1748">
              <w:rPr>
                <w:rFonts w:ascii="Calibri" w:eastAsia="Times New Roman" w:hAnsi="Calibri" w:cs="Calibri"/>
                <w:color w:val="000000"/>
                <w:sz w:val="16"/>
                <w:szCs w:val="16"/>
                <w:lang w:val="en-US"/>
              </w:rPr>
              <w:br/>
              <w:t xml:space="preserve">Filling pressure: min 200 bar </w:t>
            </w:r>
            <w:r w:rsidRPr="004F1748">
              <w:rPr>
                <w:rFonts w:ascii="Calibri" w:eastAsia="Times New Roman" w:hAnsi="Calibri" w:cs="Calibri"/>
                <w:color w:val="000000"/>
                <w:sz w:val="16"/>
                <w:szCs w:val="16"/>
                <w:lang w:val="en-US"/>
              </w:rPr>
              <w:br/>
              <w:t xml:space="preserve">With flowmeter  </w:t>
            </w:r>
          </w:p>
        </w:tc>
        <w:tc>
          <w:tcPr>
            <w:tcW w:w="665" w:type="dxa"/>
            <w:tcBorders>
              <w:top w:val="nil"/>
              <w:left w:val="nil"/>
              <w:bottom w:val="single" w:sz="4" w:space="0" w:color="auto"/>
              <w:right w:val="single" w:sz="4" w:space="0" w:color="auto"/>
            </w:tcBorders>
            <w:shd w:val="clear" w:color="auto" w:fill="auto"/>
            <w:vAlign w:val="center"/>
            <w:hideMark/>
          </w:tcPr>
          <w:p w14:paraId="5DE145AB" w14:textId="77777777" w:rsidR="004F1748" w:rsidRPr="004F1748" w:rsidRDefault="004F1748" w:rsidP="004F1748">
            <w:pPr>
              <w:spacing w:after="0" w:line="240" w:lineRule="auto"/>
              <w:jc w:val="center"/>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pcs</w:t>
            </w:r>
          </w:p>
        </w:tc>
        <w:tc>
          <w:tcPr>
            <w:tcW w:w="1065" w:type="dxa"/>
            <w:tcBorders>
              <w:top w:val="nil"/>
              <w:left w:val="nil"/>
              <w:bottom w:val="single" w:sz="4" w:space="0" w:color="auto"/>
              <w:right w:val="single" w:sz="4" w:space="0" w:color="auto"/>
            </w:tcBorders>
            <w:shd w:val="clear" w:color="auto" w:fill="auto"/>
            <w:vAlign w:val="center"/>
            <w:hideMark/>
          </w:tcPr>
          <w:p w14:paraId="263AA975" w14:textId="77777777" w:rsidR="004F1748" w:rsidRPr="004F1748" w:rsidRDefault="004F1748" w:rsidP="004F1748">
            <w:pPr>
              <w:spacing w:after="0" w:line="240" w:lineRule="auto"/>
              <w:jc w:val="center"/>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300</w:t>
            </w:r>
          </w:p>
        </w:tc>
      </w:tr>
      <w:tr w:rsidR="00061316" w:rsidRPr="004F1748" w14:paraId="448B694A" w14:textId="77777777" w:rsidTr="00061316">
        <w:trPr>
          <w:trHeight w:val="735"/>
        </w:trPr>
        <w:tc>
          <w:tcPr>
            <w:tcW w:w="502" w:type="dxa"/>
            <w:tcBorders>
              <w:top w:val="nil"/>
              <w:left w:val="single" w:sz="4" w:space="0" w:color="auto"/>
              <w:bottom w:val="single" w:sz="4" w:space="0" w:color="auto"/>
              <w:right w:val="single" w:sz="4" w:space="0" w:color="auto"/>
            </w:tcBorders>
            <w:shd w:val="clear" w:color="auto" w:fill="auto"/>
            <w:vAlign w:val="center"/>
            <w:hideMark/>
          </w:tcPr>
          <w:p w14:paraId="5FDF9F85" w14:textId="77777777" w:rsidR="004F1748" w:rsidRPr="004F1748" w:rsidRDefault="004F1748" w:rsidP="004F1748">
            <w:pPr>
              <w:spacing w:after="0" w:line="240" w:lineRule="auto"/>
              <w:jc w:val="center"/>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9</w:t>
            </w:r>
          </w:p>
        </w:tc>
        <w:tc>
          <w:tcPr>
            <w:tcW w:w="2373" w:type="dxa"/>
            <w:tcBorders>
              <w:top w:val="single" w:sz="4" w:space="0" w:color="auto"/>
              <w:left w:val="nil"/>
              <w:bottom w:val="single" w:sz="4" w:space="0" w:color="auto"/>
              <w:right w:val="nil"/>
            </w:tcBorders>
            <w:shd w:val="clear" w:color="auto" w:fill="auto"/>
            <w:hideMark/>
          </w:tcPr>
          <w:p w14:paraId="20F7A4EF" w14:textId="77777777" w:rsidR="004F1748" w:rsidRPr="004F1748" w:rsidRDefault="004F1748" w:rsidP="004F1748">
            <w:pPr>
              <w:spacing w:after="0" w:line="240" w:lineRule="auto"/>
              <w:rPr>
                <w:rFonts w:ascii="Times New Roman" w:eastAsia="Times New Roman" w:hAnsi="Times New Roman" w:cs="Times New Roman"/>
                <w:b/>
                <w:bCs/>
                <w:color w:val="000000"/>
                <w:sz w:val="16"/>
                <w:szCs w:val="16"/>
                <w:lang w:val="en-US"/>
              </w:rPr>
            </w:pPr>
            <w:r w:rsidRPr="004F1748">
              <w:rPr>
                <w:rFonts w:ascii="Times New Roman" w:eastAsia="Times New Roman" w:hAnsi="Times New Roman" w:cs="Times New Roman"/>
                <w:b/>
                <w:bCs/>
                <w:color w:val="000000"/>
                <w:sz w:val="16"/>
                <w:szCs w:val="16"/>
                <w:lang w:val="en-US"/>
              </w:rPr>
              <w:t>Mask, oxygen, with connection tube, reservoir bag and valve, high-concentration, adult, nonsterile, single use</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14:paraId="577F22B7" w14:textId="77777777" w:rsidR="004F1748" w:rsidRPr="004F1748" w:rsidRDefault="004F1748" w:rsidP="004F1748">
            <w:pPr>
              <w:spacing w:after="0" w:line="240" w:lineRule="auto"/>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Mask, oxygen, with connection tube, reservoir bag and valve, high-concentration, adult, nonsterile, single use</w:t>
            </w:r>
          </w:p>
        </w:tc>
        <w:tc>
          <w:tcPr>
            <w:tcW w:w="665" w:type="dxa"/>
            <w:tcBorders>
              <w:top w:val="single" w:sz="4" w:space="0" w:color="auto"/>
              <w:left w:val="nil"/>
              <w:bottom w:val="single" w:sz="4" w:space="0" w:color="auto"/>
              <w:right w:val="single" w:sz="4" w:space="0" w:color="auto"/>
            </w:tcBorders>
            <w:shd w:val="clear" w:color="auto" w:fill="auto"/>
            <w:vAlign w:val="center"/>
            <w:hideMark/>
          </w:tcPr>
          <w:p w14:paraId="4363A1AB" w14:textId="77777777" w:rsidR="004F1748" w:rsidRPr="004F1748" w:rsidRDefault="004F1748" w:rsidP="004F1748">
            <w:pPr>
              <w:spacing w:after="0" w:line="240" w:lineRule="auto"/>
              <w:jc w:val="center"/>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pcs</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14:paraId="603DF922" w14:textId="77777777" w:rsidR="004F1748" w:rsidRPr="004F1748" w:rsidRDefault="004F1748" w:rsidP="004F1748">
            <w:pPr>
              <w:spacing w:after="0" w:line="240" w:lineRule="auto"/>
              <w:jc w:val="center"/>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900</w:t>
            </w:r>
          </w:p>
        </w:tc>
      </w:tr>
      <w:tr w:rsidR="00061316" w:rsidRPr="004F1748" w14:paraId="4001F081" w14:textId="77777777" w:rsidTr="00061316">
        <w:trPr>
          <w:trHeight w:val="735"/>
        </w:trPr>
        <w:tc>
          <w:tcPr>
            <w:tcW w:w="502" w:type="dxa"/>
            <w:tcBorders>
              <w:top w:val="nil"/>
              <w:left w:val="single" w:sz="4" w:space="0" w:color="auto"/>
              <w:bottom w:val="single" w:sz="4" w:space="0" w:color="auto"/>
              <w:right w:val="single" w:sz="4" w:space="0" w:color="auto"/>
            </w:tcBorders>
            <w:shd w:val="clear" w:color="auto" w:fill="auto"/>
            <w:vAlign w:val="center"/>
            <w:hideMark/>
          </w:tcPr>
          <w:p w14:paraId="335310DA" w14:textId="77777777" w:rsidR="004F1748" w:rsidRPr="004F1748" w:rsidRDefault="004F1748" w:rsidP="004F1748">
            <w:pPr>
              <w:spacing w:after="0" w:line="240" w:lineRule="auto"/>
              <w:jc w:val="center"/>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10</w:t>
            </w:r>
          </w:p>
        </w:tc>
        <w:tc>
          <w:tcPr>
            <w:tcW w:w="2373" w:type="dxa"/>
            <w:tcBorders>
              <w:top w:val="single" w:sz="4" w:space="0" w:color="auto"/>
              <w:left w:val="nil"/>
              <w:bottom w:val="single" w:sz="4" w:space="0" w:color="auto"/>
              <w:right w:val="nil"/>
            </w:tcBorders>
            <w:shd w:val="clear" w:color="auto" w:fill="auto"/>
            <w:hideMark/>
          </w:tcPr>
          <w:p w14:paraId="14BA544A" w14:textId="77777777" w:rsidR="004F1748" w:rsidRPr="004F1748" w:rsidRDefault="004F1748" w:rsidP="004F1748">
            <w:pPr>
              <w:spacing w:after="0" w:line="240" w:lineRule="auto"/>
              <w:rPr>
                <w:rFonts w:ascii="Times New Roman" w:eastAsia="Times New Roman" w:hAnsi="Times New Roman" w:cs="Times New Roman"/>
                <w:b/>
                <w:bCs/>
                <w:color w:val="000000"/>
                <w:sz w:val="16"/>
                <w:szCs w:val="16"/>
                <w:lang w:val="en-US"/>
              </w:rPr>
            </w:pPr>
            <w:r w:rsidRPr="004F1748">
              <w:rPr>
                <w:rFonts w:ascii="Times New Roman" w:eastAsia="Times New Roman" w:hAnsi="Times New Roman" w:cs="Times New Roman"/>
                <w:b/>
                <w:bCs/>
                <w:color w:val="000000"/>
                <w:sz w:val="16"/>
                <w:szCs w:val="16"/>
                <w:lang w:val="en-US"/>
              </w:rPr>
              <w:t>Mask, oxygen, with connection tube, reservoir</w:t>
            </w:r>
            <w:r w:rsidRPr="004F1748">
              <w:rPr>
                <w:rFonts w:ascii="Times New Roman" w:eastAsia="Times New Roman" w:hAnsi="Times New Roman" w:cs="Times New Roman"/>
                <w:b/>
                <w:bCs/>
                <w:color w:val="000000"/>
                <w:sz w:val="16"/>
                <w:szCs w:val="16"/>
                <w:lang w:val="en-US"/>
              </w:rPr>
              <w:br/>
              <w:t>bag and valve, high-concentration, pediatric,</w:t>
            </w:r>
            <w:r w:rsidRPr="004F1748">
              <w:rPr>
                <w:rFonts w:ascii="Times New Roman" w:eastAsia="Times New Roman" w:hAnsi="Times New Roman" w:cs="Times New Roman"/>
                <w:b/>
                <w:bCs/>
                <w:color w:val="000000"/>
                <w:sz w:val="16"/>
                <w:szCs w:val="16"/>
                <w:lang w:val="en-US"/>
              </w:rPr>
              <w:br/>
              <w:t>non-sterile, single-use</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14:paraId="4B404D3C" w14:textId="77777777" w:rsidR="004F1748" w:rsidRPr="004F1748" w:rsidRDefault="004F1748" w:rsidP="004F1748">
            <w:pPr>
              <w:spacing w:after="0" w:line="240" w:lineRule="auto"/>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Mask, oxygen, with connection tube, reservoir bag and valve, high-concentration, pediatric,</w:t>
            </w:r>
            <w:r w:rsidRPr="004F1748">
              <w:rPr>
                <w:rFonts w:ascii="Calibri" w:eastAsia="Times New Roman" w:hAnsi="Calibri" w:cs="Calibri"/>
                <w:color w:val="000000"/>
                <w:sz w:val="16"/>
                <w:szCs w:val="16"/>
                <w:lang w:val="en-US"/>
              </w:rPr>
              <w:br/>
              <w:t>non-sterile, single-use</w:t>
            </w:r>
          </w:p>
        </w:tc>
        <w:tc>
          <w:tcPr>
            <w:tcW w:w="665" w:type="dxa"/>
            <w:tcBorders>
              <w:top w:val="single" w:sz="4" w:space="0" w:color="auto"/>
              <w:left w:val="nil"/>
              <w:bottom w:val="single" w:sz="4" w:space="0" w:color="auto"/>
              <w:right w:val="single" w:sz="4" w:space="0" w:color="auto"/>
            </w:tcBorders>
            <w:shd w:val="clear" w:color="auto" w:fill="auto"/>
            <w:vAlign w:val="center"/>
            <w:hideMark/>
          </w:tcPr>
          <w:p w14:paraId="7CDFD308" w14:textId="77777777" w:rsidR="004F1748" w:rsidRPr="004F1748" w:rsidRDefault="004F1748" w:rsidP="004F1748">
            <w:pPr>
              <w:spacing w:after="0" w:line="240" w:lineRule="auto"/>
              <w:jc w:val="center"/>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pcs</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14:paraId="31AFCAC0" w14:textId="77777777" w:rsidR="004F1748" w:rsidRPr="004F1748" w:rsidRDefault="004F1748" w:rsidP="004F1748">
            <w:pPr>
              <w:spacing w:after="0" w:line="240" w:lineRule="auto"/>
              <w:jc w:val="center"/>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900</w:t>
            </w:r>
          </w:p>
        </w:tc>
      </w:tr>
      <w:tr w:rsidR="00061316" w:rsidRPr="004F1748" w14:paraId="1647BCEE" w14:textId="77777777" w:rsidTr="00061316">
        <w:trPr>
          <w:trHeight w:val="372"/>
        </w:trPr>
        <w:tc>
          <w:tcPr>
            <w:tcW w:w="502" w:type="dxa"/>
            <w:tcBorders>
              <w:top w:val="nil"/>
              <w:left w:val="single" w:sz="4" w:space="0" w:color="auto"/>
              <w:bottom w:val="single" w:sz="4" w:space="0" w:color="auto"/>
              <w:right w:val="single" w:sz="4" w:space="0" w:color="auto"/>
            </w:tcBorders>
            <w:shd w:val="clear" w:color="auto" w:fill="auto"/>
            <w:vAlign w:val="center"/>
            <w:hideMark/>
          </w:tcPr>
          <w:p w14:paraId="25746D04" w14:textId="77777777" w:rsidR="004F1748" w:rsidRPr="004F1748" w:rsidRDefault="004F1748" w:rsidP="004F1748">
            <w:pPr>
              <w:spacing w:after="0" w:line="240" w:lineRule="auto"/>
              <w:jc w:val="center"/>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11</w:t>
            </w:r>
          </w:p>
        </w:tc>
        <w:tc>
          <w:tcPr>
            <w:tcW w:w="2373" w:type="dxa"/>
            <w:tcBorders>
              <w:top w:val="single" w:sz="4" w:space="0" w:color="auto"/>
              <w:left w:val="nil"/>
              <w:bottom w:val="single" w:sz="4" w:space="0" w:color="auto"/>
              <w:right w:val="single" w:sz="4" w:space="0" w:color="auto"/>
            </w:tcBorders>
            <w:shd w:val="clear" w:color="auto" w:fill="auto"/>
            <w:hideMark/>
          </w:tcPr>
          <w:p w14:paraId="7E86F85C" w14:textId="77777777" w:rsidR="004F1748" w:rsidRPr="004F1748" w:rsidRDefault="004F1748" w:rsidP="004F1748">
            <w:pPr>
              <w:spacing w:after="0" w:line="240" w:lineRule="auto"/>
              <w:rPr>
                <w:rFonts w:ascii="Times New Roman" w:eastAsia="Times New Roman" w:hAnsi="Times New Roman" w:cs="Times New Roman"/>
                <w:b/>
                <w:bCs/>
                <w:color w:val="000000"/>
                <w:sz w:val="16"/>
                <w:szCs w:val="16"/>
                <w:lang w:val="en-US"/>
              </w:rPr>
            </w:pPr>
            <w:r w:rsidRPr="004F1748">
              <w:rPr>
                <w:rFonts w:ascii="Times New Roman" w:eastAsia="Times New Roman" w:hAnsi="Times New Roman" w:cs="Times New Roman"/>
                <w:b/>
                <w:bCs/>
                <w:color w:val="000000"/>
                <w:sz w:val="16"/>
                <w:szCs w:val="16"/>
                <w:lang w:val="en-US"/>
              </w:rPr>
              <w:t>Syringe (1 ml), disposable with a needle (25 mm)</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14:paraId="1AF2CD52" w14:textId="77777777" w:rsidR="004F1748" w:rsidRPr="004F1748" w:rsidRDefault="004F1748" w:rsidP="004F1748">
            <w:pPr>
              <w:spacing w:after="0" w:line="240" w:lineRule="auto"/>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 xml:space="preserve">Syringe (1 ml), disposable with a needle (25 mm) with safety cup </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B8BD7" w14:textId="77777777" w:rsidR="004F1748" w:rsidRPr="004F1748" w:rsidRDefault="004F1748" w:rsidP="004F1748">
            <w:pPr>
              <w:spacing w:after="0" w:line="240" w:lineRule="auto"/>
              <w:jc w:val="center"/>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pcs</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0BB22" w14:textId="77777777" w:rsidR="004F1748" w:rsidRPr="004F1748" w:rsidRDefault="004F1748" w:rsidP="004F1748">
            <w:pPr>
              <w:spacing w:after="0" w:line="240" w:lineRule="auto"/>
              <w:jc w:val="center"/>
              <w:rPr>
                <w:rFonts w:ascii="Calibri" w:eastAsia="Times New Roman" w:hAnsi="Calibri" w:cs="Calibri"/>
                <w:color w:val="000000"/>
                <w:sz w:val="16"/>
                <w:szCs w:val="16"/>
                <w:lang w:val="en-US"/>
              </w:rPr>
            </w:pPr>
            <w:r w:rsidRPr="004F1748">
              <w:rPr>
                <w:rFonts w:ascii="Calibri" w:eastAsia="Times New Roman" w:hAnsi="Calibri" w:cs="Calibri"/>
                <w:color w:val="000000"/>
                <w:sz w:val="16"/>
                <w:szCs w:val="16"/>
                <w:lang w:val="en-US"/>
              </w:rPr>
              <w:t>1500</w:t>
            </w:r>
          </w:p>
        </w:tc>
      </w:tr>
    </w:tbl>
    <w:p w14:paraId="449AB33E" w14:textId="77777777" w:rsidR="00061316" w:rsidRDefault="00061316" w:rsidP="00061316">
      <w:pPr>
        <w:pStyle w:val="ListParagraph"/>
        <w:spacing w:after="60" w:line="240" w:lineRule="auto"/>
        <w:ind w:left="360"/>
        <w:rPr>
          <w:rFonts w:cstheme="minorHAnsi"/>
          <w:b/>
          <w:bCs/>
        </w:rPr>
      </w:pPr>
    </w:p>
    <w:p w14:paraId="6EEB2113" w14:textId="6F84616E" w:rsidR="00C51175" w:rsidRPr="008A15CD" w:rsidRDefault="00C51175" w:rsidP="00C51175">
      <w:pPr>
        <w:pStyle w:val="ListParagraph"/>
        <w:numPr>
          <w:ilvl w:val="0"/>
          <w:numId w:val="1"/>
        </w:numPr>
        <w:spacing w:after="60" w:line="240" w:lineRule="auto"/>
        <w:rPr>
          <w:rFonts w:cstheme="minorHAnsi"/>
          <w:b/>
          <w:bCs/>
        </w:rPr>
      </w:pPr>
      <w:r w:rsidRPr="008A15CD">
        <w:rPr>
          <w:rFonts w:cstheme="minorHAnsi"/>
          <w:b/>
          <w:bCs/>
        </w:rPr>
        <w:t>Inputs</w:t>
      </w:r>
    </w:p>
    <w:p w14:paraId="00CA8593" w14:textId="3AC66A49" w:rsidR="00F36895" w:rsidRPr="00F36895" w:rsidRDefault="00F36895" w:rsidP="00F36895">
      <w:pPr>
        <w:spacing w:after="0"/>
        <w:rPr>
          <w:rFonts w:cstheme="minorHAnsi"/>
        </w:rPr>
      </w:pPr>
      <w:r w:rsidRPr="00F36895">
        <w:rPr>
          <w:rFonts w:cstheme="minorHAnsi"/>
        </w:rPr>
        <w:t xml:space="preserve">The </w:t>
      </w:r>
      <w:r w:rsidR="00A44C8C">
        <w:rPr>
          <w:rFonts w:cstheme="minorHAnsi"/>
        </w:rPr>
        <w:t xml:space="preserve">overall </w:t>
      </w:r>
      <w:r w:rsidRPr="00F36895">
        <w:rPr>
          <w:rFonts w:cstheme="minorHAnsi"/>
        </w:rPr>
        <w:t xml:space="preserve">activity </w:t>
      </w:r>
      <w:r w:rsidR="00A44C8C">
        <w:rPr>
          <w:rFonts w:cstheme="minorHAnsi"/>
        </w:rPr>
        <w:t xml:space="preserve">shall </w:t>
      </w:r>
      <w:r w:rsidRPr="00F36895">
        <w:rPr>
          <w:rFonts w:cstheme="minorHAnsi"/>
        </w:rPr>
        <w:t xml:space="preserve">be </w:t>
      </w:r>
      <w:r w:rsidR="00A44C8C">
        <w:rPr>
          <w:rFonts w:cstheme="minorHAnsi"/>
        </w:rPr>
        <w:t xml:space="preserve">coordinated with inputs from the WHO </w:t>
      </w:r>
      <w:r w:rsidRPr="00F36895">
        <w:rPr>
          <w:rFonts w:cstheme="minorHAnsi"/>
        </w:rPr>
        <w:t>the Requesting Officer from WHO CO</w:t>
      </w:r>
      <w:r w:rsidR="00BD76CC">
        <w:rPr>
          <w:rFonts w:cstheme="minorHAnsi"/>
        </w:rPr>
        <w:t xml:space="preserve"> and </w:t>
      </w:r>
      <w:r w:rsidRPr="00F36895">
        <w:rPr>
          <w:rFonts w:cstheme="minorHAnsi"/>
        </w:rPr>
        <w:t>Ministry of Health.</w:t>
      </w:r>
      <w:r>
        <w:rPr>
          <w:rFonts w:cstheme="minorHAnsi"/>
        </w:rPr>
        <w:t xml:space="preserve"> </w:t>
      </w:r>
    </w:p>
    <w:p w14:paraId="17DA31EF" w14:textId="77777777" w:rsidR="00C51175" w:rsidRPr="008A15CD" w:rsidRDefault="00C51175" w:rsidP="00C51175">
      <w:pPr>
        <w:spacing w:after="0"/>
        <w:rPr>
          <w:rFonts w:cstheme="minorHAnsi"/>
        </w:rPr>
      </w:pPr>
    </w:p>
    <w:p w14:paraId="28BA5C9E" w14:textId="77777777" w:rsidR="00B13252" w:rsidRPr="008A15CD" w:rsidRDefault="00B13252" w:rsidP="00B13252">
      <w:pPr>
        <w:pStyle w:val="ListParagraph"/>
        <w:numPr>
          <w:ilvl w:val="0"/>
          <w:numId w:val="1"/>
        </w:numPr>
        <w:spacing w:after="60" w:line="240" w:lineRule="auto"/>
        <w:rPr>
          <w:rFonts w:cstheme="minorHAnsi"/>
          <w:b/>
          <w:bCs/>
        </w:rPr>
      </w:pPr>
      <w:r w:rsidRPr="008A15CD">
        <w:rPr>
          <w:rFonts w:cstheme="minorHAnsi"/>
          <w:b/>
          <w:bCs/>
        </w:rPr>
        <w:t>*Activity Coordination &amp; Reporting</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09"/>
        <w:gridCol w:w="3856"/>
        <w:gridCol w:w="729"/>
        <w:gridCol w:w="2947"/>
      </w:tblGrid>
      <w:tr w:rsidR="008A15CD" w:rsidRPr="008A15CD" w14:paraId="69353C29" w14:textId="77777777" w:rsidTr="00B13252">
        <w:tc>
          <w:tcPr>
            <w:tcW w:w="2235" w:type="dxa"/>
          </w:tcPr>
          <w:p w14:paraId="107FD51F" w14:textId="77777777" w:rsidR="00116A84" w:rsidRPr="008A15CD" w:rsidRDefault="00B13252" w:rsidP="00B13252">
            <w:pPr>
              <w:spacing w:after="60"/>
              <w:rPr>
                <w:rFonts w:cstheme="minorHAnsi"/>
                <w:b/>
                <w:bCs/>
                <w:sz w:val="20"/>
                <w:szCs w:val="20"/>
              </w:rPr>
            </w:pPr>
            <w:r w:rsidRPr="008A15CD">
              <w:rPr>
                <w:rFonts w:cstheme="minorHAnsi"/>
                <w:b/>
                <w:bCs/>
                <w:sz w:val="20"/>
                <w:szCs w:val="20"/>
              </w:rPr>
              <w:t>Technical</w:t>
            </w:r>
            <w:r w:rsidR="00116A84" w:rsidRPr="008A15CD">
              <w:rPr>
                <w:rFonts w:cstheme="minorHAnsi"/>
                <w:b/>
                <w:bCs/>
                <w:sz w:val="20"/>
                <w:szCs w:val="20"/>
              </w:rPr>
              <w:t xml:space="preserve"> Officer: </w:t>
            </w:r>
          </w:p>
        </w:tc>
        <w:tc>
          <w:tcPr>
            <w:tcW w:w="3948" w:type="dxa"/>
          </w:tcPr>
          <w:p w14:paraId="131FB0D3" w14:textId="18E6B068" w:rsidR="00116A84" w:rsidRPr="008A15CD" w:rsidRDefault="00F36895" w:rsidP="009B5DE0">
            <w:pPr>
              <w:spacing w:after="60"/>
              <w:rPr>
                <w:rFonts w:cstheme="minorHAnsi"/>
                <w:b/>
                <w:bCs/>
                <w:sz w:val="20"/>
                <w:szCs w:val="20"/>
              </w:rPr>
            </w:pPr>
            <w:r>
              <w:rPr>
                <w:rFonts w:cstheme="minorHAnsi"/>
                <w:b/>
                <w:bCs/>
                <w:sz w:val="20"/>
                <w:szCs w:val="20"/>
              </w:rPr>
              <w:t xml:space="preserve">NPO, Alexei </w:t>
            </w:r>
            <w:proofErr w:type="spellStart"/>
            <w:r>
              <w:rPr>
                <w:rFonts w:cstheme="minorHAnsi"/>
                <w:b/>
                <w:bCs/>
                <w:sz w:val="20"/>
                <w:szCs w:val="20"/>
              </w:rPr>
              <w:t>Ceban</w:t>
            </w:r>
            <w:proofErr w:type="spellEnd"/>
          </w:p>
        </w:tc>
        <w:tc>
          <w:tcPr>
            <w:tcW w:w="729" w:type="dxa"/>
          </w:tcPr>
          <w:p w14:paraId="41CF48B9" w14:textId="77777777" w:rsidR="00116A84" w:rsidRPr="008A15CD" w:rsidRDefault="00116A84" w:rsidP="009B5DE0">
            <w:pPr>
              <w:spacing w:after="60"/>
              <w:rPr>
                <w:rFonts w:cstheme="minorHAnsi"/>
                <w:b/>
                <w:bCs/>
                <w:sz w:val="20"/>
                <w:szCs w:val="20"/>
              </w:rPr>
            </w:pPr>
            <w:r w:rsidRPr="008A15CD">
              <w:rPr>
                <w:rFonts w:cstheme="minorHAnsi"/>
                <w:b/>
                <w:bCs/>
                <w:sz w:val="20"/>
                <w:szCs w:val="20"/>
              </w:rPr>
              <w:t>Email:</w:t>
            </w:r>
          </w:p>
        </w:tc>
        <w:tc>
          <w:tcPr>
            <w:tcW w:w="2977" w:type="dxa"/>
          </w:tcPr>
          <w:p w14:paraId="4825B247" w14:textId="0B13294D" w:rsidR="00116A84" w:rsidRPr="008A15CD" w:rsidRDefault="00F36895" w:rsidP="009B5DE0">
            <w:pPr>
              <w:spacing w:after="60"/>
              <w:rPr>
                <w:rFonts w:cstheme="minorHAnsi"/>
                <w:b/>
                <w:bCs/>
                <w:sz w:val="20"/>
                <w:szCs w:val="20"/>
              </w:rPr>
            </w:pPr>
            <w:r>
              <w:rPr>
                <w:rFonts w:cstheme="minorHAnsi"/>
                <w:b/>
                <w:bCs/>
                <w:sz w:val="20"/>
                <w:szCs w:val="20"/>
              </w:rPr>
              <w:t>cebana</w:t>
            </w:r>
            <w:r w:rsidR="00116A84" w:rsidRPr="008A15CD">
              <w:rPr>
                <w:rFonts w:cstheme="minorHAnsi"/>
                <w:b/>
                <w:bCs/>
                <w:sz w:val="20"/>
                <w:szCs w:val="20"/>
              </w:rPr>
              <w:t>@who.int</w:t>
            </w:r>
          </w:p>
        </w:tc>
      </w:tr>
      <w:tr w:rsidR="008A15CD" w:rsidRPr="008A15CD" w14:paraId="35616953" w14:textId="77777777" w:rsidTr="00B13252">
        <w:tc>
          <w:tcPr>
            <w:tcW w:w="2235" w:type="dxa"/>
            <w:tcBorders>
              <w:bottom w:val="single" w:sz="4" w:space="0" w:color="A6A6A6" w:themeColor="background1" w:themeShade="A6"/>
            </w:tcBorders>
          </w:tcPr>
          <w:p w14:paraId="3A51E017" w14:textId="77777777" w:rsidR="00B13252" w:rsidRPr="008A15CD" w:rsidRDefault="00B13252" w:rsidP="009B5DE0">
            <w:pPr>
              <w:spacing w:after="60"/>
              <w:rPr>
                <w:rFonts w:cstheme="minorHAnsi"/>
                <w:sz w:val="20"/>
                <w:szCs w:val="20"/>
              </w:rPr>
            </w:pPr>
            <w:r w:rsidRPr="008A15CD">
              <w:rPr>
                <w:rFonts w:cstheme="minorHAnsi"/>
                <w:sz w:val="20"/>
                <w:szCs w:val="20"/>
              </w:rPr>
              <w:t>For the purpose of:</w:t>
            </w:r>
          </w:p>
        </w:tc>
        <w:tc>
          <w:tcPr>
            <w:tcW w:w="7654" w:type="dxa"/>
            <w:gridSpan w:val="3"/>
            <w:tcBorders>
              <w:bottom w:val="single" w:sz="4" w:space="0" w:color="A6A6A6" w:themeColor="background1" w:themeShade="A6"/>
            </w:tcBorders>
          </w:tcPr>
          <w:p w14:paraId="720E9B1C" w14:textId="77777777" w:rsidR="00B13252" w:rsidRPr="008A15CD" w:rsidRDefault="00B13252" w:rsidP="009B5DE0">
            <w:pPr>
              <w:spacing w:after="60"/>
              <w:rPr>
                <w:rFonts w:cstheme="minorHAnsi"/>
                <w:sz w:val="20"/>
                <w:szCs w:val="20"/>
                <w:highlight w:val="yellow"/>
              </w:rPr>
            </w:pPr>
            <w:r w:rsidRPr="00F36895">
              <w:rPr>
                <w:rFonts w:cstheme="minorHAnsi"/>
                <w:sz w:val="20"/>
                <w:szCs w:val="20"/>
              </w:rPr>
              <w:t>Technical supervision and instructions - Reporting</w:t>
            </w:r>
          </w:p>
        </w:tc>
      </w:tr>
      <w:tr w:rsidR="008A15CD" w:rsidRPr="008A15CD" w14:paraId="5477D86E" w14:textId="77777777" w:rsidTr="00B13252">
        <w:tc>
          <w:tcPr>
            <w:tcW w:w="2235" w:type="dxa"/>
          </w:tcPr>
          <w:p w14:paraId="75125B35" w14:textId="77777777" w:rsidR="00116A84" w:rsidRPr="008A15CD" w:rsidRDefault="00B13252" w:rsidP="00B13252">
            <w:pPr>
              <w:tabs>
                <w:tab w:val="right" w:pos="1735"/>
              </w:tabs>
              <w:spacing w:after="60"/>
              <w:rPr>
                <w:rFonts w:cstheme="minorHAnsi"/>
                <w:b/>
                <w:bCs/>
                <w:sz w:val="20"/>
                <w:szCs w:val="20"/>
              </w:rPr>
            </w:pPr>
            <w:r w:rsidRPr="008A15CD">
              <w:rPr>
                <w:rFonts w:cstheme="minorHAnsi"/>
                <w:b/>
                <w:bCs/>
                <w:sz w:val="20"/>
                <w:szCs w:val="20"/>
              </w:rPr>
              <w:t>Administrative Officer</w:t>
            </w:r>
            <w:r w:rsidR="00116A84" w:rsidRPr="008A15CD">
              <w:rPr>
                <w:rFonts w:cstheme="minorHAnsi"/>
                <w:b/>
                <w:bCs/>
                <w:sz w:val="20"/>
                <w:szCs w:val="20"/>
              </w:rPr>
              <w:t>:</w:t>
            </w:r>
          </w:p>
        </w:tc>
        <w:tc>
          <w:tcPr>
            <w:tcW w:w="3948" w:type="dxa"/>
          </w:tcPr>
          <w:p w14:paraId="5C41FA16" w14:textId="4E0C3B65" w:rsidR="00116A84" w:rsidRPr="008A15CD" w:rsidRDefault="00F36895" w:rsidP="009B5DE0">
            <w:pPr>
              <w:spacing w:after="60"/>
              <w:rPr>
                <w:rFonts w:cstheme="minorHAnsi"/>
                <w:b/>
                <w:bCs/>
                <w:sz w:val="20"/>
                <w:szCs w:val="20"/>
              </w:rPr>
            </w:pPr>
            <w:r>
              <w:rPr>
                <w:rFonts w:cstheme="minorHAnsi"/>
                <w:b/>
                <w:bCs/>
                <w:sz w:val="20"/>
                <w:szCs w:val="20"/>
              </w:rPr>
              <w:t xml:space="preserve">Project assistant, Anastasia </w:t>
            </w:r>
            <w:proofErr w:type="spellStart"/>
            <w:r>
              <w:rPr>
                <w:rFonts w:cstheme="minorHAnsi"/>
                <w:b/>
                <w:bCs/>
                <w:sz w:val="20"/>
                <w:szCs w:val="20"/>
              </w:rPr>
              <w:t>Andronachi</w:t>
            </w:r>
            <w:proofErr w:type="spellEnd"/>
          </w:p>
        </w:tc>
        <w:tc>
          <w:tcPr>
            <w:tcW w:w="729" w:type="dxa"/>
          </w:tcPr>
          <w:p w14:paraId="6A240551" w14:textId="77777777" w:rsidR="00116A84" w:rsidRPr="008A15CD" w:rsidRDefault="00116A84" w:rsidP="009B5DE0">
            <w:pPr>
              <w:spacing w:after="60"/>
              <w:rPr>
                <w:rFonts w:cstheme="minorHAnsi"/>
                <w:b/>
                <w:bCs/>
                <w:sz w:val="20"/>
                <w:szCs w:val="20"/>
              </w:rPr>
            </w:pPr>
            <w:r w:rsidRPr="008A15CD">
              <w:rPr>
                <w:rFonts w:cstheme="minorHAnsi"/>
                <w:b/>
                <w:bCs/>
                <w:sz w:val="20"/>
                <w:szCs w:val="20"/>
              </w:rPr>
              <w:t>Email:</w:t>
            </w:r>
          </w:p>
        </w:tc>
        <w:tc>
          <w:tcPr>
            <w:tcW w:w="2977" w:type="dxa"/>
          </w:tcPr>
          <w:p w14:paraId="02ECE0C7" w14:textId="2E832500" w:rsidR="00116A84" w:rsidRPr="008A15CD" w:rsidRDefault="00F36895" w:rsidP="009B5DE0">
            <w:pPr>
              <w:spacing w:after="60"/>
              <w:rPr>
                <w:rFonts w:cstheme="minorHAnsi"/>
                <w:b/>
                <w:bCs/>
                <w:sz w:val="20"/>
                <w:szCs w:val="20"/>
              </w:rPr>
            </w:pPr>
            <w:r>
              <w:rPr>
                <w:rFonts w:cstheme="minorHAnsi"/>
                <w:b/>
                <w:bCs/>
                <w:sz w:val="20"/>
                <w:szCs w:val="20"/>
              </w:rPr>
              <w:t>andronachia</w:t>
            </w:r>
            <w:r w:rsidR="00116A84" w:rsidRPr="008A15CD">
              <w:rPr>
                <w:rFonts w:cstheme="minorHAnsi"/>
                <w:b/>
                <w:bCs/>
                <w:sz w:val="20"/>
                <w:szCs w:val="20"/>
              </w:rPr>
              <w:t>@who.int</w:t>
            </w:r>
          </w:p>
        </w:tc>
      </w:tr>
      <w:tr w:rsidR="00B13252" w:rsidRPr="008A15CD" w14:paraId="7DC854A6" w14:textId="77777777" w:rsidTr="00B13252">
        <w:tc>
          <w:tcPr>
            <w:tcW w:w="2235" w:type="dxa"/>
          </w:tcPr>
          <w:p w14:paraId="14B6DF43" w14:textId="77777777" w:rsidR="00B13252" w:rsidRPr="008A15CD" w:rsidRDefault="00B13252" w:rsidP="00B00784">
            <w:pPr>
              <w:spacing w:after="60"/>
              <w:rPr>
                <w:rFonts w:cstheme="minorHAnsi"/>
                <w:sz w:val="20"/>
                <w:szCs w:val="20"/>
              </w:rPr>
            </w:pPr>
            <w:r w:rsidRPr="008A15CD">
              <w:rPr>
                <w:rFonts w:cstheme="minorHAnsi"/>
                <w:sz w:val="20"/>
                <w:szCs w:val="20"/>
              </w:rPr>
              <w:t>For the purpose of:</w:t>
            </w:r>
          </w:p>
        </w:tc>
        <w:tc>
          <w:tcPr>
            <w:tcW w:w="7654" w:type="dxa"/>
            <w:gridSpan w:val="3"/>
          </w:tcPr>
          <w:p w14:paraId="469FDC04" w14:textId="77777777" w:rsidR="00B13252" w:rsidRPr="008A15CD" w:rsidRDefault="00B13252" w:rsidP="00B00784">
            <w:pPr>
              <w:spacing w:after="60"/>
              <w:rPr>
                <w:rFonts w:cstheme="minorHAnsi"/>
                <w:sz w:val="20"/>
                <w:szCs w:val="20"/>
                <w:highlight w:val="yellow"/>
              </w:rPr>
            </w:pPr>
            <w:r w:rsidRPr="00F36895">
              <w:rPr>
                <w:rFonts w:cstheme="minorHAnsi"/>
                <w:sz w:val="20"/>
                <w:szCs w:val="20"/>
              </w:rPr>
              <w:t>Contractual and financial management of the contract</w:t>
            </w:r>
          </w:p>
        </w:tc>
      </w:tr>
    </w:tbl>
    <w:p w14:paraId="09646449" w14:textId="77777777" w:rsidR="00B13252" w:rsidRPr="008A15CD" w:rsidRDefault="00B13252" w:rsidP="00B13252">
      <w:pPr>
        <w:pStyle w:val="ListParagraph"/>
        <w:spacing w:after="60" w:line="240" w:lineRule="auto"/>
        <w:ind w:left="360"/>
        <w:rPr>
          <w:rFonts w:cstheme="minorHAnsi"/>
          <w:b/>
          <w:bCs/>
        </w:rPr>
      </w:pPr>
    </w:p>
    <w:p w14:paraId="6B680149" w14:textId="77777777" w:rsidR="00B13252" w:rsidRPr="008A15CD" w:rsidRDefault="00B13252" w:rsidP="00B13252">
      <w:pPr>
        <w:pStyle w:val="ListParagraph"/>
        <w:numPr>
          <w:ilvl w:val="0"/>
          <w:numId w:val="1"/>
        </w:numPr>
        <w:spacing w:after="60" w:line="240" w:lineRule="auto"/>
        <w:rPr>
          <w:rFonts w:cstheme="minorHAnsi"/>
          <w:b/>
          <w:bCs/>
        </w:rPr>
      </w:pPr>
      <w:r w:rsidRPr="008A15CD">
        <w:rPr>
          <w:rFonts w:cstheme="minorHAnsi"/>
          <w:b/>
          <w:bCs/>
        </w:rPr>
        <w:t>*Characteristics of the Provider</w:t>
      </w:r>
    </w:p>
    <w:p w14:paraId="10063347" w14:textId="413906A5" w:rsidR="00B13252" w:rsidRPr="008A15CD" w:rsidRDefault="00F36895" w:rsidP="00E93504">
      <w:pPr>
        <w:spacing w:after="0"/>
        <w:rPr>
          <w:rFonts w:cstheme="minorHAnsi"/>
        </w:rPr>
      </w:pPr>
      <w:r>
        <w:rPr>
          <w:rFonts w:cstheme="minorHAnsi"/>
        </w:rPr>
        <w:t xml:space="preserve">Supplier should ensure that all </w:t>
      </w:r>
      <w:r>
        <w:t>required quantity of items is made available from the local</w:t>
      </w:r>
      <w:r w:rsidR="00D34211">
        <w:t xml:space="preserve"> or international</w:t>
      </w:r>
      <w:r>
        <w:t xml:space="preserve"> market.</w:t>
      </w:r>
      <w:r w:rsidR="008D6A2E">
        <w:t xml:space="preserve"> E</w:t>
      </w:r>
      <w:r w:rsidR="008D6A2E" w:rsidRPr="008D6A2E">
        <w:t xml:space="preserve">xperience in developing and producing similar type of equipment </w:t>
      </w:r>
      <w:r w:rsidR="008D6A2E">
        <w:t>with</w:t>
      </w:r>
      <w:r w:rsidR="008D6A2E" w:rsidRPr="008D6A2E">
        <w:t xml:space="preserve"> positive previous experience working with national authorities </w:t>
      </w:r>
      <w:r w:rsidR="008D6A2E">
        <w:t>or other organizations will be an asset</w:t>
      </w:r>
      <w:r w:rsidR="008D6A2E" w:rsidRPr="008D6A2E">
        <w:t>.</w:t>
      </w:r>
    </w:p>
    <w:p w14:paraId="58E9D1AE" w14:textId="781F09FD" w:rsidR="009439E6" w:rsidRDefault="00A44C8C" w:rsidP="009439E6">
      <w:pPr>
        <w:spacing w:after="60" w:line="240" w:lineRule="auto"/>
      </w:pPr>
      <w:r>
        <w:t xml:space="preserve">The supplier shall ensure that its procedures for awarding contracts and for the procurement of goods and services under this Agreement safeguard the principles of awards being made on an assessment of competitive quotations or bids. The supplier shall procure any such goods and services for the Project in accordance with internationally accepted standards, in compliance with the principles of transparency, proportionality, sound financial management, equal treatment and non-discrimination, with care being taken to avoid any conflict of interests, and taking account of the principles of quality, economy and efficiency. The supplier shall procure from entities that meet the standards established by WHO. The supplier shall retain all records relating to goods or services procured by it </w:t>
      </w:r>
      <w:proofErr w:type="gramStart"/>
      <w:r>
        <w:t>during the course of</w:t>
      </w:r>
      <w:proofErr w:type="gramEnd"/>
      <w:r>
        <w:t xml:space="preserve"> implementation of the Project for a period of at least five (5) years after the end date of the Project, and in accordance with the supplier’s procedures. Notwithstanding any contracts concluded by the supplier for the procurement of goods and services, the supplier shall be and remain fully responsible vis-à-vis WHO for the satisfactory and timely implementation of the Project, including any subcontracted work.</w:t>
      </w:r>
    </w:p>
    <w:p w14:paraId="447DA7E4" w14:textId="2AA51B73" w:rsidR="00F36895" w:rsidRDefault="00E93504" w:rsidP="00F36895">
      <w:pPr>
        <w:pStyle w:val="ListParagraph"/>
        <w:numPr>
          <w:ilvl w:val="0"/>
          <w:numId w:val="1"/>
        </w:numPr>
        <w:spacing w:after="60" w:line="240" w:lineRule="auto"/>
        <w:rPr>
          <w:rFonts w:cstheme="minorHAnsi"/>
          <w:b/>
          <w:bCs/>
        </w:rPr>
      </w:pPr>
      <w:r>
        <w:rPr>
          <w:rFonts w:cstheme="minorHAnsi"/>
          <w:b/>
          <w:bCs/>
        </w:rPr>
        <w:t>*</w:t>
      </w:r>
      <w:r w:rsidR="00DD12DB" w:rsidRPr="008A15CD">
        <w:rPr>
          <w:rFonts w:cstheme="minorHAnsi"/>
          <w:b/>
          <w:bCs/>
        </w:rPr>
        <w:t>Place of assignment</w:t>
      </w:r>
    </w:p>
    <w:p w14:paraId="1B1ADB1A" w14:textId="7054437E" w:rsidR="00F36895" w:rsidRDefault="00F36895" w:rsidP="00F36895">
      <w:pPr>
        <w:pStyle w:val="ListParagraph"/>
        <w:spacing w:after="60" w:line="240" w:lineRule="auto"/>
        <w:ind w:left="360"/>
        <w:rPr>
          <w:rFonts w:cstheme="minorHAnsi"/>
          <w:b/>
          <w:bCs/>
        </w:rPr>
      </w:pPr>
    </w:p>
    <w:p w14:paraId="6BAE2AD0" w14:textId="5D3452FB" w:rsidR="00F36895" w:rsidRPr="00F36895" w:rsidRDefault="00F36895" w:rsidP="00F36895">
      <w:pPr>
        <w:pStyle w:val="ListParagraph"/>
        <w:spacing w:after="60" w:line="240" w:lineRule="auto"/>
        <w:ind w:left="360"/>
        <w:rPr>
          <w:rFonts w:cstheme="minorHAnsi"/>
        </w:rPr>
      </w:pPr>
      <w:r w:rsidRPr="00F36895">
        <w:rPr>
          <w:rFonts w:cstheme="minorHAnsi"/>
        </w:rPr>
        <w:t xml:space="preserve">The activity will include </w:t>
      </w:r>
      <w:r w:rsidR="00196D7B">
        <w:rPr>
          <w:rFonts w:cstheme="minorHAnsi"/>
        </w:rPr>
        <w:t xml:space="preserve">distribution of the equipment </w:t>
      </w:r>
      <w:r w:rsidR="00C46A08">
        <w:rPr>
          <w:rFonts w:cstheme="minorHAnsi"/>
        </w:rPr>
        <w:t xml:space="preserve">to </w:t>
      </w:r>
      <w:r w:rsidR="00283AD3">
        <w:rPr>
          <w:rFonts w:cstheme="minorHAnsi"/>
        </w:rPr>
        <w:t xml:space="preserve">the </w:t>
      </w:r>
      <w:r w:rsidR="00BD76CC">
        <w:rPr>
          <w:rFonts w:cstheme="minorHAnsi"/>
        </w:rPr>
        <w:t>Ministry of Health</w:t>
      </w:r>
      <w:r w:rsidR="00916C49">
        <w:rPr>
          <w:rFonts w:cstheme="minorHAnsi"/>
        </w:rPr>
        <w:t xml:space="preserve"> warehouse</w:t>
      </w:r>
      <w:r w:rsidR="00BD76CC">
        <w:rPr>
          <w:rFonts w:cstheme="minorHAnsi"/>
        </w:rPr>
        <w:t xml:space="preserve"> from Republic of Moldova</w:t>
      </w:r>
      <w:r w:rsidR="00916C49">
        <w:rPr>
          <w:rFonts w:cstheme="minorHAnsi"/>
        </w:rPr>
        <w:t>.</w:t>
      </w:r>
    </w:p>
    <w:sectPr w:rsidR="00F36895" w:rsidRPr="00F36895" w:rsidSect="000004D1">
      <w:footerReference w:type="default" r:id="rId10"/>
      <w:pgSz w:w="11906" w:h="16838"/>
      <w:pgMar w:top="1134" w:right="1021"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2AE20" w14:textId="77777777" w:rsidR="00757A99" w:rsidRDefault="00757A99" w:rsidP="00116345">
      <w:pPr>
        <w:spacing w:after="0" w:line="240" w:lineRule="auto"/>
      </w:pPr>
      <w:r>
        <w:separator/>
      </w:r>
    </w:p>
  </w:endnote>
  <w:endnote w:type="continuationSeparator" w:id="0">
    <w:p w14:paraId="34557F5C" w14:textId="77777777" w:rsidR="00757A99" w:rsidRDefault="00757A99" w:rsidP="00116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6EF2" w14:textId="77777777" w:rsidR="00116345" w:rsidRDefault="008A15CD" w:rsidP="008A15CD">
    <w:pPr>
      <w:pStyle w:val="Footer"/>
      <w:jc w:val="right"/>
      <w:rPr>
        <w:b/>
        <w:bCs/>
        <w:color w:val="808080" w:themeColor="background1" w:themeShade="80"/>
        <w:sz w:val="14"/>
        <w:szCs w:val="14"/>
      </w:rPr>
    </w:pPr>
    <w:r>
      <w:rPr>
        <w:b/>
        <w:bCs/>
        <w:color w:val="808080" w:themeColor="background1" w:themeShade="80"/>
        <w:sz w:val="14"/>
        <w:szCs w:val="14"/>
      </w:rPr>
      <w:t>APWs</w:t>
    </w:r>
    <w:r w:rsidR="00F37168">
      <w:rPr>
        <w:b/>
        <w:bCs/>
        <w:color w:val="808080" w:themeColor="background1" w:themeShade="80"/>
        <w:sz w:val="14"/>
        <w:szCs w:val="14"/>
      </w:rPr>
      <w:t>Cies</w:t>
    </w:r>
    <w:r w:rsidR="00116345" w:rsidRPr="00116345">
      <w:rPr>
        <w:b/>
        <w:bCs/>
        <w:color w:val="808080" w:themeColor="background1" w:themeShade="80"/>
        <w:sz w:val="14"/>
        <w:szCs w:val="14"/>
      </w:rPr>
      <w:t>_T</w:t>
    </w:r>
    <w:r>
      <w:rPr>
        <w:b/>
        <w:bCs/>
        <w:color w:val="808080" w:themeColor="background1" w:themeShade="80"/>
        <w:sz w:val="14"/>
        <w:szCs w:val="14"/>
      </w:rPr>
      <w:t>oRs</w:t>
    </w:r>
    <w:r w:rsidR="00116345" w:rsidRPr="00116345">
      <w:rPr>
        <w:b/>
        <w:bCs/>
        <w:color w:val="808080" w:themeColor="background1" w:themeShade="80"/>
        <w:sz w:val="14"/>
        <w:szCs w:val="14"/>
      </w:rPr>
      <w:t>Template_V</w:t>
    </w:r>
    <w:r>
      <w:rPr>
        <w:b/>
        <w:bCs/>
        <w:color w:val="808080" w:themeColor="background1" w:themeShade="80"/>
        <w:sz w:val="14"/>
        <w:szCs w:val="14"/>
      </w:rPr>
      <w:t>1</w:t>
    </w:r>
    <w:r w:rsidR="00116345" w:rsidRPr="00116345">
      <w:rPr>
        <w:b/>
        <w:bCs/>
        <w:color w:val="808080" w:themeColor="background1" w:themeShade="80"/>
        <w:sz w:val="14"/>
        <w:szCs w:val="14"/>
      </w:rPr>
      <w:t>_201</w:t>
    </w:r>
    <w:r>
      <w:rPr>
        <w:b/>
        <w:bCs/>
        <w:color w:val="808080" w:themeColor="background1" w:themeShade="80"/>
        <w:sz w:val="14"/>
        <w:szCs w:val="14"/>
      </w:rPr>
      <w:t>70329</w:t>
    </w:r>
    <w:r w:rsidR="00116345">
      <w:rPr>
        <w:b/>
        <w:bCs/>
        <w:color w:val="808080" w:themeColor="background1" w:themeShade="80"/>
        <w:sz w:val="14"/>
        <w:szCs w:val="14"/>
      </w:rPr>
      <w:t xml:space="preserve">  </w:t>
    </w:r>
  </w:p>
  <w:p w14:paraId="614BE346" w14:textId="77777777" w:rsidR="00116345" w:rsidRPr="00116345" w:rsidRDefault="00116345" w:rsidP="00116345">
    <w:pPr>
      <w:pStyle w:val="Footer"/>
      <w:jc w:val="right"/>
      <w:rPr>
        <w:b/>
        <w:bCs/>
        <w:color w:val="808080" w:themeColor="background1" w:themeShade="80"/>
        <w:sz w:val="14"/>
        <w:szCs w:val="14"/>
      </w:rPr>
    </w:pPr>
    <w:r w:rsidRPr="00116345">
      <w:rPr>
        <w:b/>
        <w:bCs/>
        <w:color w:val="808080" w:themeColor="background1" w:themeShade="80"/>
        <w:spacing w:val="60"/>
        <w:sz w:val="14"/>
        <w:szCs w:val="14"/>
      </w:rPr>
      <w:t>Page</w:t>
    </w:r>
    <w:r w:rsidRPr="00116345">
      <w:rPr>
        <w:b/>
        <w:bCs/>
        <w:color w:val="808080" w:themeColor="background1" w:themeShade="80"/>
        <w:sz w:val="14"/>
        <w:szCs w:val="14"/>
      </w:rPr>
      <w:t xml:space="preserve"> | </w:t>
    </w:r>
    <w:r w:rsidRPr="00116345">
      <w:rPr>
        <w:b/>
        <w:bCs/>
        <w:color w:val="808080" w:themeColor="background1" w:themeShade="80"/>
        <w:sz w:val="14"/>
        <w:szCs w:val="14"/>
      </w:rPr>
      <w:fldChar w:fldCharType="begin"/>
    </w:r>
    <w:r w:rsidRPr="00116345">
      <w:rPr>
        <w:b/>
        <w:bCs/>
        <w:color w:val="808080" w:themeColor="background1" w:themeShade="80"/>
        <w:sz w:val="14"/>
        <w:szCs w:val="14"/>
      </w:rPr>
      <w:instrText xml:space="preserve"> PAGE   \* MERGEFORMAT </w:instrText>
    </w:r>
    <w:r w:rsidRPr="00116345">
      <w:rPr>
        <w:b/>
        <w:bCs/>
        <w:color w:val="808080" w:themeColor="background1" w:themeShade="80"/>
        <w:sz w:val="14"/>
        <w:szCs w:val="14"/>
      </w:rPr>
      <w:fldChar w:fldCharType="separate"/>
    </w:r>
    <w:r w:rsidR="00E93504">
      <w:rPr>
        <w:b/>
        <w:bCs/>
        <w:noProof/>
        <w:color w:val="808080" w:themeColor="background1" w:themeShade="80"/>
        <w:sz w:val="14"/>
        <w:szCs w:val="14"/>
      </w:rPr>
      <w:t>2</w:t>
    </w:r>
    <w:r w:rsidRPr="00116345">
      <w:rPr>
        <w:b/>
        <w:bCs/>
        <w:noProof/>
        <w:color w:val="808080" w:themeColor="background1" w:themeShade="80"/>
        <w:sz w:val="14"/>
        <w:szCs w:val="14"/>
      </w:rPr>
      <w:fldChar w:fldCharType="end"/>
    </w:r>
  </w:p>
  <w:p w14:paraId="375AD876" w14:textId="77777777" w:rsidR="00116345" w:rsidRDefault="0011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6C5A1" w14:textId="77777777" w:rsidR="00757A99" w:rsidRDefault="00757A99" w:rsidP="00116345">
      <w:pPr>
        <w:spacing w:after="0" w:line="240" w:lineRule="auto"/>
      </w:pPr>
      <w:r>
        <w:separator/>
      </w:r>
    </w:p>
  </w:footnote>
  <w:footnote w:type="continuationSeparator" w:id="0">
    <w:p w14:paraId="31797F80" w14:textId="77777777" w:rsidR="00757A99" w:rsidRDefault="00757A99" w:rsidP="00116345">
      <w:pPr>
        <w:spacing w:after="0" w:line="240" w:lineRule="auto"/>
      </w:pPr>
      <w:r>
        <w:continuationSeparator/>
      </w:r>
    </w:p>
  </w:footnote>
  <w:footnote w:id="1">
    <w:p w14:paraId="5B82C686" w14:textId="77777777" w:rsidR="008A15CD" w:rsidRDefault="008A15CD" w:rsidP="008A15CD">
      <w:pPr>
        <w:pStyle w:val="EndnoteText"/>
      </w:pPr>
      <w:r>
        <w:rPr>
          <w:rStyle w:val="FootnoteReference"/>
        </w:rPr>
        <w:footnoteRef/>
      </w:r>
      <w:r>
        <w:t xml:space="preserve"> </w:t>
      </w:r>
      <w:r w:rsidRPr="00AD3A15">
        <w:rPr>
          <w:color w:val="BFBFBF" w:themeColor="background1" w:themeShade="BF"/>
          <w:sz w:val="14"/>
          <w:szCs w:val="14"/>
        </w:rPr>
        <w:t xml:space="preserve">This template </w:t>
      </w:r>
      <w:r>
        <w:rPr>
          <w:color w:val="BFBFBF" w:themeColor="background1" w:themeShade="BF"/>
          <w:sz w:val="14"/>
          <w:szCs w:val="14"/>
        </w:rPr>
        <w:t>is only to be used for</w:t>
      </w:r>
      <w:r w:rsidRPr="00AD3A15">
        <w:rPr>
          <w:color w:val="BFBFBF" w:themeColor="background1" w:themeShade="BF"/>
          <w:sz w:val="14"/>
          <w:szCs w:val="14"/>
        </w:rPr>
        <w:t xml:space="preserve"> APWs granted to Companies, and </w:t>
      </w:r>
      <w:r w:rsidRPr="00AD3A15">
        <w:rPr>
          <w:color w:val="BFBFBF" w:themeColor="background1" w:themeShade="BF"/>
          <w:sz w:val="14"/>
          <w:szCs w:val="14"/>
          <w:u w:val="single"/>
        </w:rPr>
        <w:t>not</w:t>
      </w:r>
      <w:r w:rsidRPr="00AD3A15">
        <w:rPr>
          <w:color w:val="BFBFBF" w:themeColor="background1" w:themeShade="BF"/>
          <w:sz w:val="14"/>
          <w:szCs w:val="14"/>
        </w:rPr>
        <w:t xml:space="preserve"> </w:t>
      </w:r>
      <w:r>
        <w:rPr>
          <w:color w:val="BFBFBF" w:themeColor="background1" w:themeShade="BF"/>
          <w:sz w:val="14"/>
          <w:szCs w:val="14"/>
        </w:rPr>
        <w:t>for</w:t>
      </w:r>
      <w:r w:rsidRPr="00AD3A15">
        <w:rPr>
          <w:color w:val="BFBFBF" w:themeColor="background1" w:themeShade="BF"/>
          <w:sz w:val="14"/>
          <w:szCs w:val="14"/>
        </w:rPr>
        <w:t xml:space="preserve"> APWs granted to Individuals.</w:t>
      </w:r>
    </w:p>
    <w:p w14:paraId="4306E237" w14:textId="77777777" w:rsidR="008A15CD" w:rsidRDefault="008A15C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72B7"/>
    <w:multiLevelType w:val="hybridMultilevel"/>
    <w:tmpl w:val="DAA6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419C0"/>
    <w:multiLevelType w:val="hybridMultilevel"/>
    <w:tmpl w:val="1FA420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F941F2"/>
    <w:multiLevelType w:val="hybridMultilevel"/>
    <w:tmpl w:val="F8AA52A6"/>
    <w:lvl w:ilvl="0" w:tplc="B194F75A">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8F2371"/>
    <w:multiLevelType w:val="hybridMultilevel"/>
    <w:tmpl w:val="A5005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0856BC"/>
    <w:multiLevelType w:val="hybridMultilevel"/>
    <w:tmpl w:val="79ECE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805AD3"/>
    <w:multiLevelType w:val="hybridMultilevel"/>
    <w:tmpl w:val="21C87DCC"/>
    <w:lvl w:ilvl="0" w:tplc="4790B620">
      <w:start w:val="2"/>
      <w:numFmt w:val="bullet"/>
      <w:lvlText w:val="−"/>
      <w:lvlJc w:val="left"/>
      <w:pPr>
        <w:ind w:left="720" w:hanging="360"/>
      </w:pPr>
      <w:rPr>
        <w:rFonts w:ascii="Garamond" w:eastAsia="SimSu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7B2EFD"/>
    <w:multiLevelType w:val="hybridMultilevel"/>
    <w:tmpl w:val="7AEE6944"/>
    <w:lvl w:ilvl="0" w:tplc="93C8D1F6">
      <w:start w:val="5"/>
      <w:numFmt w:val="bullet"/>
      <w:lvlText w:val=""/>
      <w:lvlJc w:val="left"/>
      <w:pPr>
        <w:ind w:left="388" w:hanging="360"/>
      </w:pPr>
      <w:rPr>
        <w:rFonts w:ascii="Wingdings" w:eastAsiaTheme="minorHAnsi" w:hAnsi="Wingdings" w:cstheme="minorHAnsi" w:hint="default"/>
      </w:rPr>
    </w:lvl>
    <w:lvl w:ilvl="1" w:tplc="08090003" w:tentative="1">
      <w:start w:val="1"/>
      <w:numFmt w:val="bullet"/>
      <w:lvlText w:val="o"/>
      <w:lvlJc w:val="left"/>
      <w:pPr>
        <w:ind w:left="1108" w:hanging="360"/>
      </w:pPr>
      <w:rPr>
        <w:rFonts w:ascii="Courier New" w:hAnsi="Courier New" w:cs="Courier New" w:hint="default"/>
      </w:rPr>
    </w:lvl>
    <w:lvl w:ilvl="2" w:tplc="08090005" w:tentative="1">
      <w:start w:val="1"/>
      <w:numFmt w:val="bullet"/>
      <w:lvlText w:val=""/>
      <w:lvlJc w:val="left"/>
      <w:pPr>
        <w:ind w:left="1828" w:hanging="360"/>
      </w:pPr>
      <w:rPr>
        <w:rFonts w:ascii="Wingdings" w:hAnsi="Wingdings" w:hint="default"/>
      </w:rPr>
    </w:lvl>
    <w:lvl w:ilvl="3" w:tplc="08090001" w:tentative="1">
      <w:start w:val="1"/>
      <w:numFmt w:val="bullet"/>
      <w:lvlText w:val=""/>
      <w:lvlJc w:val="left"/>
      <w:pPr>
        <w:ind w:left="2548" w:hanging="360"/>
      </w:pPr>
      <w:rPr>
        <w:rFonts w:ascii="Symbol" w:hAnsi="Symbol" w:hint="default"/>
      </w:rPr>
    </w:lvl>
    <w:lvl w:ilvl="4" w:tplc="08090003" w:tentative="1">
      <w:start w:val="1"/>
      <w:numFmt w:val="bullet"/>
      <w:lvlText w:val="o"/>
      <w:lvlJc w:val="left"/>
      <w:pPr>
        <w:ind w:left="3268" w:hanging="360"/>
      </w:pPr>
      <w:rPr>
        <w:rFonts w:ascii="Courier New" w:hAnsi="Courier New" w:cs="Courier New" w:hint="default"/>
      </w:rPr>
    </w:lvl>
    <w:lvl w:ilvl="5" w:tplc="08090005" w:tentative="1">
      <w:start w:val="1"/>
      <w:numFmt w:val="bullet"/>
      <w:lvlText w:val=""/>
      <w:lvlJc w:val="left"/>
      <w:pPr>
        <w:ind w:left="3988" w:hanging="360"/>
      </w:pPr>
      <w:rPr>
        <w:rFonts w:ascii="Wingdings" w:hAnsi="Wingdings" w:hint="default"/>
      </w:rPr>
    </w:lvl>
    <w:lvl w:ilvl="6" w:tplc="08090001" w:tentative="1">
      <w:start w:val="1"/>
      <w:numFmt w:val="bullet"/>
      <w:lvlText w:val=""/>
      <w:lvlJc w:val="left"/>
      <w:pPr>
        <w:ind w:left="4708" w:hanging="360"/>
      </w:pPr>
      <w:rPr>
        <w:rFonts w:ascii="Symbol" w:hAnsi="Symbol" w:hint="default"/>
      </w:rPr>
    </w:lvl>
    <w:lvl w:ilvl="7" w:tplc="08090003" w:tentative="1">
      <w:start w:val="1"/>
      <w:numFmt w:val="bullet"/>
      <w:lvlText w:val="o"/>
      <w:lvlJc w:val="left"/>
      <w:pPr>
        <w:ind w:left="5428" w:hanging="360"/>
      </w:pPr>
      <w:rPr>
        <w:rFonts w:ascii="Courier New" w:hAnsi="Courier New" w:cs="Courier New" w:hint="default"/>
      </w:rPr>
    </w:lvl>
    <w:lvl w:ilvl="8" w:tplc="08090005" w:tentative="1">
      <w:start w:val="1"/>
      <w:numFmt w:val="bullet"/>
      <w:lvlText w:val=""/>
      <w:lvlJc w:val="left"/>
      <w:pPr>
        <w:ind w:left="6148" w:hanging="360"/>
      </w:pPr>
      <w:rPr>
        <w:rFonts w:ascii="Wingdings" w:hAnsi="Wingdings" w:hint="default"/>
      </w:rPr>
    </w:lvl>
  </w:abstractNum>
  <w:abstractNum w:abstractNumId="7" w15:restartNumberingAfterBreak="0">
    <w:nsid w:val="6BF73003"/>
    <w:multiLevelType w:val="hybridMultilevel"/>
    <w:tmpl w:val="62F81EF8"/>
    <w:lvl w:ilvl="0" w:tplc="68A0306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6C3FBD"/>
    <w:multiLevelType w:val="hybridMultilevel"/>
    <w:tmpl w:val="CC764486"/>
    <w:lvl w:ilvl="0" w:tplc="68A0306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8BF0F02"/>
    <w:multiLevelType w:val="hybridMultilevel"/>
    <w:tmpl w:val="03564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D42E50"/>
    <w:multiLevelType w:val="hybridMultilevel"/>
    <w:tmpl w:val="5232A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0"/>
  </w:num>
  <w:num w:numId="3">
    <w:abstractNumId w:val="4"/>
  </w:num>
  <w:num w:numId="4">
    <w:abstractNumId w:val="1"/>
  </w:num>
  <w:num w:numId="5">
    <w:abstractNumId w:val="9"/>
  </w:num>
  <w:num w:numId="6">
    <w:abstractNumId w:val="3"/>
  </w:num>
  <w:num w:numId="7">
    <w:abstractNumId w:val="7"/>
  </w:num>
  <w:num w:numId="8">
    <w:abstractNumId w:val="6"/>
  </w:num>
  <w:num w:numId="9">
    <w:abstractNumId w:val="5"/>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QwtTQ0MzIzszQwtTBT0lEKTi0uzszPAykwqgUAXFWC2CwAAAA="/>
  </w:docVars>
  <w:rsids>
    <w:rsidRoot w:val="000004D1"/>
    <w:rsid w:val="000004D1"/>
    <w:rsid w:val="00051998"/>
    <w:rsid w:val="00061316"/>
    <w:rsid w:val="00072045"/>
    <w:rsid w:val="00080017"/>
    <w:rsid w:val="00086BB2"/>
    <w:rsid w:val="00116345"/>
    <w:rsid w:val="00116A84"/>
    <w:rsid w:val="001533BD"/>
    <w:rsid w:val="00157977"/>
    <w:rsid w:val="001648E8"/>
    <w:rsid w:val="00185403"/>
    <w:rsid w:val="00196D7B"/>
    <w:rsid w:val="001D06C8"/>
    <w:rsid w:val="001E2015"/>
    <w:rsid w:val="001F3ED9"/>
    <w:rsid w:val="00254115"/>
    <w:rsid w:val="00262620"/>
    <w:rsid w:val="00283AD3"/>
    <w:rsid w:val="00291477"/>
    <w:rsid w:val="00295461"/>
    <w:rsid w:val="002A49D7"/>
    <w:rsid w:val="002A53F6"/>
    <w:rsid w:val="002C1915"/>
    <w:rsid w:val="0034300D"/>
    <w:rsid w:val="00373B33"/>
    <w:rsid w:val="0043448D"/>
    <w:rsid w:val="00454AF8"/>
    <w:rsid w:val="004B7773"/>
    <w:rsid w:val="004C35D6"/>
    <w:rsid w:val="004C6F25"/>
    <w:rsid w:val="004D3436"/>
    <w:rsid w:val="004F1748"/>
    <w:rsid w:val="005160A1"/>
    <w:rsid w:val="00522D9F"/>
    <w:rsid w:val="00532298"/>
    <w:rsid w:val="0054217E"/>
    <w:rsid w:val="00544172"/>
    <w:rsid w:val="005B2C28"/>
    <w:rsid w:val="005F42A3"/>
    <w:rsid w:val="006117D2"/>
    <w:rsid w:val="006816A5"/>
    <w:rsid w:val="006E4651"/>
    <w:rsid w:val="007530B3"/>
    <w:rsid w:val="0075541B"/>
    <w:rsid w:val="00757A99"/>
    <w:rsid w:val="00763D80"/>
    <w:rsid w:val="0077203D"/>
    <w:rsid w:val="007A0D08"/>
    <w:rsid w:val="007A21A2"/>
    <w:rsid w:val="007E6EA0"/>
    <w:rsid w:val="00847D0B"/>
    <w:rsid w:val="0085099F"/>
    <w:rsid w:val="00884E76"/>
    <w:rsid w:val="008A15CD"/>
    <w:rsid w:val="008D61DE"/>
    <w:rsid w:val="008D6A2E"/>
    <w:rsid w:val="00916C49"/>
    <w:rsid w:val="00924182"/>
    <w:rsid w:val="009439E6"/>
    <w:rsid w:val="00961D87"/>
    <w:rsid w:val="009637FD"/>
    <w:rsid w:val="009659BC"/>
    <w:rsid w:val="00966B1A"/>
    <w:rsid w:val="00992C92"/>
    <w:rsid w:val="009B4806"/>
    <w:rsid w:val="009E5D3E"/>
    <w:rsid w:val="009E5FD1"/>
    <w:rsid w:val="00A024D6"/>
    <w:rsid w:val="00A16F91"/>
    <w:rsid w:val="00A3221F"/>
    <w:rsid w:val="00A3608D"/>
    <w:rsid w:val="00A44C8C"/>
    <w:rsid w:val="00A62C9D"/>
    <w:rsid w:val="00AA7BC9"/>
    <w:rsid w:val="00AC164C"/>
    <w:rsid w:val="00AC4DFA"/>
    <w:rsid w:val="00AF20FC"/>
    <w:rsid w:val="00AF2CE7"/>
    <w:rsid w:val="00B13252"/>
    <w:rsid w:val="00B1375D"/>
    <w:rsid w:val="00B143F9"/>
    <w:rsid w:val="00B62B08"/>
    <w:rsid w:val="00B8414B"/>
    <w:rsid w:val="00BD76CC"/>
    <w:rsid w:val="00C02725"/>
    <w:rsid w:val="00C05E37"/>
    <w:rsid w:val="00C37F4B"/>
    <w:rsid w:val="00C440C5"/>
    <w:rsid w:val="00C46A08"/>
    <w:rsid w:val="00C51175"/>
    <w:rsid w:val="00C53A91"/>
    <w:rsid w:val="00C70EEA"/>
    <w:rsid w:val="00CF48C5"/>
    <w:rsid w:val="00D219C2"/>
    <w:rsid w:val="00D34211"/>
    <w:rsid w:val="00D6554A"/>
    <w:rsid w:val="00DA0187"/>
    <w:rsid w:val="00DD12DB"/>
    <w:rsid w:val="00DD4733"/>
    <w:rsid w:val="00E10D2D"/>
    <w:rsid w:val="00E5342E"/>
    <w:rsid w:val="00E93504"/>
    <w:rsid w:val="00EA26FF"/>
    <w:rsid w:val="00ED54FF"/>
    <w:rsid w:val="00EF3128"/>
    <w:rsid w:val="00F30988"/>
    <w:rsid w:val="00F3293F"/>
    <w:rsid w:val="00F36895"/>
    <w:rsid w:val="00F37168"/>
    <w:rsid w:val="00F4529D"/>
    <w:rsid w:val="00F57EF4"/>
    <w:rsid w:val="00F75D99"/>
    <w:rsid w:val="00FA67C2"/>
    <w:rsid w:val="00FC4B2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E41AE"/>
  <w15:docId w15:val="{BD46CD7F-BE94-4BD1-900C-ED8BEE60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175"/>
    <w:pPr>
      <w:keepNext/>
      <w:keepLines/>
      <w:spacing w:before="360" w:after="0" w:line="240" w:lineRule="auto"/>
      <w:jc w:val="both"/>
      <w:outlineLvl w:val="0"/>
    </w:pPr>
    <w:rPr>
      <w:rFonts w:asciiTheme="majorHAnsi" w:eastAsiaTheme="majorEastAsia" w:hAnsiTheme="majorHAnsi" w:cstheme="majorBidi"/>
      <w:bCs/>
      <w:color w:val="4F81BD" w:themeColor="accent1"/>
      <w:spacing w:val="2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4D1"/>
    <w:rPr>
      <w:rFonts w:ascii="Tahoma" w:hAnsi="Tahoma" w:cs="Tahoma"/>
      <w:sz w:val="16"/>
      <w:szCs w:val="16"/>
    </w:rPr>
  </w:style>
  <w:style w:type="table" w:styleId="TableGrid">
    <w:name w:val="Table Grid"/>
    <w:basedOn w:val="TableNormal"/>
    <w:uiPriority w:val="59"/>
    <w:rsid w:val="00000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4D1"/>
    <w:pPr>
      <w:ind w:left="720"/>
      <w:contextualSpacing/>
    </w:pPr>
  </w:style>
  <w:style w:type="paragraph" w:styleId="Header">
    <w:name w:val="header"/>
    <w:basedOn w:val="Normal"/>
    <w:link w:val="HeaderChar"/>
    <w:uiPriority w:val="99"/>
    <w:unhideWhenUsed/>
    <w:rsid w:val="001163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345"/>
  </w:style>
  <w:style w:type="paragraph" w:styleId="Footer">
    <w:name w:val="footer"/>
    <w:basedOn w:val="Normal"/>
    <w:link w:val="FooterChar"/>
    <w:uiPriority w:val="99"/>
    <w:unhideWhenUsed/>
    <w:rsid w:val="001163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345"/>
  </w:style>
  <w:style w:type="character" w:customStyle="1" w:styleId="Heading1Char">
    <w:name w:val="Heading 1 Char"/>
    <w:basedOn w:val="DefaultParagraphFont"/>
    <w:link w:val="Heading1"/>
    <w:uiPriority w:val="9"/>
    <w:rsid w:val="00C51175"/>
    <w:rPr>
      <w:rFonts w:asciiTheme="majorHAnsi" w:eastAsiaTheme="majorEastAsia" w:hAnsiTheme="majorHAnsi" w:cstheme="majorBidi"/>
      <w:bCs/>
      <w:color w:val="4F81BD" w:themeColor="accent1"/>
      <w:spacing w:val="20"/>
      <w:sz w:val="32"/>
      <w:szCs w:val="28"/>
    </w:rPr>
  </w:style>
  <w:style w:type="paragraph" w:styleId="FootnoteText">
    <w:name w:val="footnote text"/>
    <w:basedOn w:val="Normal"/>
    <w:link w:val="FootnoteTextChar"/>
    <w:uiPriority w:val="99"/>
    <w:semiHidden/>
    <w:unhideWhenUsed/>
    <w:rsid w:val="008A15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15CD"/>
    <w:rPr>
      <w:sz w:val="20"/>
      <w:szCs w:val="20"/>
    </w:rPr>
  </w:style>
  <w:style w:type="character" w:styleId="FootnoteReference">
    <w:name w:val="footnote reference"/>
    <w:basedOn w:val="DefaultParagraphFont"/>
    <w:uiPriority w:val="99"/>
    <w:semiHidden/>
    <w:unhideWhenUsed/>
    <w:rsid w:val="008A15CD"/>
    <w:rPr>
      <w:vertAlign w:val="superscript"/>
    </w:rPr>
  </w:style>
  <w:style w:type="paragraph" w:styleId="EndnoteText">
    <w:name w:val="endnote text"/>
    <w:basedOn w:val="Normal"/>
    <w:link w:val="EndnoteTextChar"/>
    <w:uiPriority w:val="99"/>
    <w:semiHidden/>
    <w:unhideWhenUsed/>
    <w:rsid w:val="008A15CD"/>
    <w:pPr>
      <w:spacing w:after="0" w:line="240" w:lineRule="auto"/>
    </w:pPr>
    <w:rPr>
      <w:rFonts w:eastAsia="MS Mincho"/>
      <w:sz w:val="20"/>
      <w:szCs w:val="20"/>
    </w:rPr>
  </w:style>
  <w:style w:type="character" w:customStyle="1" w:styleId="EndnoteTextChar">
    <w:name w:val="Endnote Text Char"/>
    <w:basedOn w:val="DefaultParagraphFont"/>
    <w:link w:val="EndnoteText"/>
    <w:uiPriority w:val="99"/>
    <w:semiHidden/>
    <w:rsid w:val="008A15CD"/>
    <w:rPr>
      <w:rFonts w:eastAsia="MS Mincho"/>
      <w:sz w:val="20"/>
      <w:szCs w:val="20"/>
    </w:rPr>
  </w:style>
  <w:style w:type="character" w:styleId="EndnoteReference">
    <w:name w:val="endnote reference"/>
    <w:basedOn w:val="DefaultParagraphFont"/>
    <w:uiPriority w:val="99"/>
    <w:semiHidden/>
    <w:unhideWhenUsed/>
    <w:rsid w:val="008A15CD"/>
    <w:rPr>
      <w:vertAlign w:val="superscript"/>
    </w:rPr>
  </w:style>
  <w:style w:type="character" w:styleId="CommentReference">
    <w:name w:val="annotation reference"/>
    <w:basedOn w:val="DefaultParagraphFont"/>
    <w:uiPriority w:val="99"/>
    <w:semiHidden/>
    <w:unhideWhenUsed/>
    <w:rsid w:val="00B8414B"/>
    <w:rPr>
      <w:sz w:val="16"/>
      <w:szCs w:val="16"/>
    </w:rPr>
  </w:style>
  <w:style w:type="paragraph" w:styleId="CommentText">
    <w:name w:val="annotation text"/>
    <w:basedOn w:val="Normal"/>
    <w:link w:val="CommentTextChar"/>
    <w:uiPriority w:val="99"/>
    <w:semiHidden/>
    <w:unhideWhenUsed/>
    <w:rsid w:val="00B8414B"/>
    <w:pPr>
      <w:spacing w:line="240" w:lineRule="auto"/>
    </w:pPr>
    <w:rPr>
      <w:sz w:val="20"/>
      <w:szCs w:val="20"/>
    </w:rPr>
  </w:style>
  <w:style w:type="character" w:customStyle="1" w:styleId="CommentTextChar">
    <w:name w:val="Comment Text Char"/>
    <w:basedOn w:val="DefaultParagraphFont"/>
    <w:link w:val="CommentText"/>
    <w:uiPriority w:val="99"/>
    <w:semiHidden/>
    <w:rsid w:val="00B8414B"/>
    <w:rPr>
      <w:sz w:val="20"/>
      <w:szCs w:val="20"/>
    </w:rPr>
  </w:style>
  <w:style w:type="paragraph" w:styleId="CommentSubject">
    <w:name w:val="annotation subject"/>
    <w:basedOn w:val="CommentText"/>
    <w:next w:val="CommentText"/>
    <w:link w:val="CommentSubjectChar"/>
    <w:uiPriority w:val="99"/>
    <w:semiHidden/>
    <w:unhideWhenUsed/>
    <w:rsid w:val="00B8414B"/>
    <w:rPr>
      <w:b/>
      <w:bCs/>
    </w:rPr>
  </w:style>
  <w:style w:type="character" w:customStyle="1" w:styleId="CommentSubjectChar">
    <w:name w:val="Comment Subject Char"/>
    <w:basedOn w:val="CommentTextChar"/>
    <w:link w:val="CommentSubject"/>
    <w:uiPriority w:val="99"/>
    <w:semiHidden/>
    <w:rsid w:val="00B8414B"/>
    <w:rPr>
      <w:b/>
      <w:bCs/>
      <w:sz w:val="20"/>
      <w:szCs w:val="20"/>
    </w:rPr>
  </w:style>
  <w:style w:type="character" w:styleId="Hyperlink">
    <w:name w:val="Hyperlink"/>
    <w:basedOn w:val="DefaultParagraphFont"/>
    <w:uiPriority w:val="99"/>
    <w:unhideWhenUsed/>
    <w:rsid w:val="00D6554A"/>
    <w:rPr>
      <w:color w:val="0000FF" w:themeColor="hyperlink"/>
      <w:u w:val="single"/>
    </w:rPr>
  </w:style>
  <w:style w:type="character" w:styleId="UnresolvedMention">
    <w:name w:val="Unresolved Mention"/>
    <w:basedOn w:val="DefaultParagraphFont"/>
    <w:uiPriority w:val="99"/>
    <w:semiHidden/>
    <w:unhideWhenUsed/>
    <w:rsid w:val="00D65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426066">
      <w:bodyDiv w:val="1"/>
      <w:marLeft w:val="0"/>
      <w:marRight w:val="0"/>
      <w:marTop w:val="0"/>
      <w:marBottom w:val="0"/>
      <w:divBdr>
        <w:top w:val="none" w:sz="0" w:space="0" w:color="auto"/>
        <w:left w:val="none" w:sz="0" w:space="0" w:color="auto"/>
        <w:bottom w:val="none" w:sz="0" w:space="0" w:color="auto"/>
        <w:right w:val="none" w:sz="0" w:space="0" w:color="auto"/>
      </w:divBdr>
    </w:div>
    <w:div w:id="1064912359">
      <w:bodyDiv w:val="1"/>
      <w:marLeft w:val="0"/>
      <w:marRight w:val="0"/>
      <w:marTop w:val="0"/>
      <w:marBottom w:val="0"/>
      <w:divBdr>
        <w:top w:val="none" w:sz="0" w:space="0" w:color="auto"/>
        <w:left w:val="none" w:sz="0" w:space="0" w:color="auto"/>
        <w:bottom w:val="none" w:sz="0" w:space="0" w:color="auto"/>
        <w:right w:val="none" w:sz="0" w:space="0" w:color="auto"/>
      </w:divBdr>
    </w:div>
    <w:div w:id="1363821189">
      <w:bodyDiv w:val="1"/>
      <w:marLeft w:val="0"/>
      <w:marRight w:val="0"/>
      <w:marTop w:val="0"/>
      <w:marBottom w:val="0"/>
      <w:divBdr>
        <w:top w:val="none" w:sz="0" w:space="0" w:color="auto"/>
        <w:left w:val="none" w:sz="0" w:space="0" w:color="auto"/>
        <w:bottom w:val="none" w:sz="0" w:space="0" w:color="auto"/>
        <w:right w:val="none" w:sz="0" w:space="0" w:color="auto"/>
      </w:divBdr>
    </w:div>
    <w:div w:id="1448159091">
      <w:bodyDiv w:val="1"/>
      <w:marLeft w:val="0"/>
      <w:marRight w:val="0"/>
      <w:marTop w:val="0"/>
      <w:marBottom w:val="0"/>
      <w:divBdr>
        <w:top w:val="none" w:sz="0" w:space="0" w:color="auto"/>
        <w:left w:val="none" w:sz="0" w:space="0" w:color="auto"/>
        <w:bottom w:val="none" w:sz="0" w:space="0" w:color="auto"/>
        <w:right w:val="none" w:sz="0" w:space="0" w:color="auto"/>
      </w:divBdr>
    </w:div>
    <w:div w:id="209054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smps.gov.md/wp-content/uploads/2020/06/5872-Shocul_anafilacti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A185E-6F77-4AEB-A8A9-45ACF21C4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1426</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PACQUETET, Elise</dc:creator>
  <cp:lastModifiedBy>CEBAN, Alexei</cp:lastModifiedBy>
  <cp:revision>3</cp:revision>
  <dcterms:created xsi:type="dcterms:W3CDTF">2022-11-02T12:16:00Z</dcterms:created>
  <dcterms:modified xsi:type="dcterms:W3CDTF">2022-11-02T13:57:00Z</dcterms:modified>
</cp:coreProperties>
</file>