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634F" w14:textId="77777777" w:rsidR="008B30F5" w:rsidRPr="007D792C" w:rsidRDefault="008B30F5" w:rsidP="00122E44">
      <w:pPr>
        <w:spacing w:after="160" w:line="259" w:lineRule="auto"/>
        <w:jc w:val="center"/>
        <w:rPr>
          <w:rFonts w:ascii="Myriad Pro" w:hAnsi="Myriad Pro"/>
          <w:b/>
          <w:smallCaps/>
          <w:snapToGrid/>
          <w:sz w:val="36"/>
          <w:lang w:val="ru-RU"/>
        </w:rPr>
      </w:pPr>
      <w:bookmarkStart w:id="0" w:name="_Hlk12527382"/>
      <w:bookmarkStart w:id="1" w:name="_Hlk12604595"/>
    </w:p>
    <w:p w14:paraId="238BC7AF" w14:textId="77777777" w:rsidR="008B30F5" w:rsidRPr="007D792C" w:rsidRDefault="008B30F5" w:rsidP="00122E44">
      <w:pPr>
        <w:spacing w:after="160" w:line="259" w:lineRule="auto"/>
        <w:jc w:val="center"/>
        <w:rPr>
          <w:rFonts w:ascii="Myriad Pro" w:hAnsi="Myriad Pro"/>
          <w:b/>
          <w:smallCaps/>
          <w:snapToGrid/>
          <w:sz w:val="36"/>
          <w:lang w:val="ru-RU"/>
        </w:rPr>
      </w:pPr>
    </w:p>
    <w:p w14:paraId="40D36AEA" w14:textId="4BF4D4BC" w:rsidR="00C52DF3" w:rsidRPr="007D792C" w:rsidRDefault="00F33E64" w:rsidP="00C52DF3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bCs/>
          <w:smallCaps/>
          <w:color w:val="1F3864"/>
          <w:sz w:val="44"/>
          <w:szCs w:val="44"/>
          <w:lang w:val="ru-RU"/>
        </w:rPr>
      </w:pPr>
      <w:r w:rsidRPr="007D792C">
        <w:rPr>
          <w:rFonts w:ascii="Arial" w:eastAsia="Arial" w:hAnsi="Arial" w:cs="Arial"/>
          <w:b/>
          <w:bCs/>
          <w:smallCaps/>
          <w:color w:val="1F3864" w:themeColor="accent1" w:themeShade="80"/>
          <w:sz w:val="44"/>
          <w:szCs w:val="44"/>
          <w:lang w:val="ru-RU"/>
        </w:rPr>
        <w:t>РУКОВОДСТВО ПО ПОДАЧИ ЗАЯВКИ</w:t>
      </w:r>
    </w:p>
    <w:p w14:paraId="09B97312" w14:textId="77777777" w:rsidR="00C52DF3" w:rsidRPr="007D792C" w:rsidRDefault="00C52DF3" w:rsidP="00C52DF3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bCs/>
          <w:smallCaps/>
          <w:color w:val="1F3864"/>
          <w:sz w:val="44"/>
          <w:szCs w:val="44"/>
          <w:lang w:val="ru-RU"/>
        </w:rPr>
      </w:pPr>
    </w:p>
    <w:p w14:paraId="57216D52" w14:textId="7FAEF7D7" w:rsidR="008B30F5" w:rsidRPr="007D792C" w:rsidRDefault="005D1766" w:rsidP="00C52DF3">
      <w:pPr>
        <w:spacing w:after="160" w:line="259" w:lineRule="auto"/>
        <w:jc w:val="center"/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</w:pPr>
      <w:r w:rsidRPr="007D792C">
        <w:rPr>
          <w:rFonts w:ascii="Arial" w:eastAsia="Arial" w:hAnsi="Arial" w:cs="Arial"/>
          <w:b/>
          <w:bCs/>
          <w:smallCaps/>
          <w:color w:val="1F3864" w:themeColor="accent1" w:themeShade="80"/>
          <w:sz w:val="40"/>
          <w:szCs w:val="40"/>
          <w:lang w:val="ru-RU"/>
        </w:rPr>
        <w:t>КОНКУРС ГРАНТОВ</w:t>
      </w:r>
    </w:p>
    <w:p w14:paraId="48B60D8B" w14:textId="77777777" w:rsidR="00C52DF3" w:rsidRPr="007D792C" w:rsidRDefault="00C52DF3" w:rsidP="008B30F5">
      <w:pPr>
        <w:spacing w:after="160" w:line="259" w:lineRule="auto"/>
        <w:jc w:val="center"/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</w:pPr>
    </w:p>
    <w:p w14:paraId="53FFA934" w14:textId="358F9A0C" w:rsidR="00DC6D62" w:rsidRPr="007D792C" w:rsidRDefault="00FE3C1D" w:rsidP="008B30F5">
      <w:pPr>
        <w:spacing w:after="160" w:line="259" w:lineRule="auto"/>
        <w:jc w:val="center"/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</w:pPr>
      <w:r w:rsidRPr="007D792C"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  <w:t>РАЗРАБОТКА ЦИФРОВЫХ РЕШЕНИЙ ДЛЯ БОРЬБЫ С РАЗЖИГАНИЕМ НЕНАВИСТИ И ДЕЗИНФОРМАЦИЕЙ В ИНТЕРНЕТЕ</w:t>
      </w:r>
      <w:r w:rsidR="005025BA" w:rsidRPr="007D792C" w:rsidDel="00F7433E"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  <w:t xml:space="preserve"> </w:t>
      </w:r>
    </w:p>
    <w:p w14:paraId="713ABDF8" w14:textId="77777777" w:rsidR="00FA45B5" w:rsidRPr="007D792C" w:rsidRDefault="00FA45B5" w:rsidP="007E1AA6">
      <w:pPr>
        <w:spacing w:after="160" w:line="259" w:lineRule="auto"/>
        <w:jc w:val="center"/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</w:pPr>
    </w:p>
    <w:p w14:paraId="4C328C14" w14:textId="00BD177D" w:rsidR="007E1AA6" w:rsidRPr="007D792C" w:rsidRDefault="007E1AA6" w:rsidP="007E1AA6">
      <w:pPr>
        <w:spacing w:after="160" w:line="259" w:lineRule="auto"/>
        <w:jc w:val="center"/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</w:pPr>
      <w:r w:rsidRPr="007D792C"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  <w:t>РЕАЛИЗОВАННЫЙ В РАМКАХ ПРОЕКТА</w:t>
      </w:r>
    </w:p>
    <w:p w14:paraId="055D49BE" w14:textId="4A34A8E4" w:rsidR="00122E44" w:rsidRPr="007D792C" w:rsidRDefault="007E1AA6" w:rsidP="007E1AA6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  <w:r w:rsidRPr="007D792C"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  <w:t>«Построение устойчивого и инклюзивного мира, укрепление доверия и социальной сплоченности на обоих берегах Днестра»</w:t>
      </w:r>
    </w:p>
    <w:p w14:paraId="66E2A97B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42AA2911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4C6FAF40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510BAA94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3D899CE1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6E3D621B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208CBB03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51EF2812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5EE12D67" w14:textId="77777777" w:rsidR="00523854" w:rsidRPr="007D792C" w:rsidRDefault="0052385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7F97B3B6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79D65183" w14:textId="77777777" w:rsidR="00122E44" w:rsidRPr="007D792C" w:rsidRDefault="00122E44" w:rsidP="00886419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2E020D4C" w14:textId="77777777" w:rsidR="00012099" w:rsidRPr="007D792C" w:rsidRDefault="0001209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1FC4D615" w14:textId="0093D44A" w:rsidR="0061194B" w:rsidRPr="007D792C" w:rsidRDefault="00FE3C1D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  <w:r w:rsidRPr="007D792C">
        <w:rPr>
          <w:rFonts w:ascii="Myriad Pro" w:eastAsia="Batang" w:hAnsi="Myriad Pro" w:cs="Arial"/>
          <w:sz w:val="22"/>
          <w:szCs w:val="22"/>
          <w:lang w:val="ru-RU"/>
        </w:rPr>
        <w:t xml:space="preserve">Август </w:t>
      </w:r>
      <w:r w:rsidR="007914BB" w:rsidRPr="007D792C">
        <w:rPr>
          <w:rFonts w:ascii="Myriad Pro" w:eastAsia="Batang" w:hAnsi="Myriad Pro" w:cs="Arial"/>
          <w:sz w:val="22"/>
          <w:szCs w:val="22"/>
          <w:lang w:val="ru-RU"/>
        </w:rPr>
        <w:t>2024</w:t>
      </w:r>
      <w:r w:rsidR="0061194B" w:rsidRPr="007D792C">
        <w:rPr>
          <w:rFonts w:ascii="Myriad Pro" w:eastAsia="Batang" w:hAnsi="Myriad Pro" w:cs="Arial"/>
          <w:sz w:val="22"/>
          <w:szCs w:val="22"/>
          <w:lang w:val="ru-RU"/>
        </w:rPr>
        <w:br w:type="page"/>
      </w:r>
    </w:p>
    <w:sdt>
      <w:sdtPr>
        <w:rPr>
          <w:rFonts w:ascii="Myriad Pro" w:eastAsia="Times New Roman" w:hAnsi="Myriad Pro" w:cs="Times New Roman"/>
          <w:snapToGrid w:val="0"/>
          <w:color w:val="auto"/>
          <w:sz w:val="24"/>
          <w:szCs w:val="20"/>
          <w:lang w:val="ru-RU"/>
        </w:rPr>
        <w:id w:val="-75505932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D55A351" w14:textId="5DFACCF3" w:rsidR="00CA73BE" w:rsidRPr="007D792C" w:rsidRDefault="00902DD8" w:rsidP="00CA73BE">
          <w:pPr>
            <w:pStyle w:val="Titlucuprins"/>
            <w:spacing w:after="240"/>
            <w:rPr>
              <w:rFonts w:ascii="Myriad Pro" w:hAnsi="Myriad Pro"/>
              <w:color w:val="auto"/>
              <w:sz w:val="24"/>
              <w:lang w:val="ru-RU"/>
            </w:rPr>
          </w:pPr>
          <w:r w:rsidRPr="007D792C">
            <w:rPr>
              <w:rFonts w:ascii="Myriad Pro" w:hAnsi="Myriad Pro"/>
              <w:color w:val="auto"/>
              <w:sz w:val="24"/>
              <w:lang w:val="ru-RU"/>
            </w:rPr>
            <w:t>СОДЕРЖАНИЕ</w:t>
          </w:r>
        </w:p>
        <w:p w14:paraId="44876052" w14:textId="10936E92" w:rsidR="001850A1" w:rsidRDefault="00842608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r w:rsidRPr="007D792C">
            <w:rPr>
              <w:rFonts w:ascii="Myriad Pro" w:hAnsi="Myriad Pro"/>
              <w:bCs/>
              <w:noProof/>
              <w:lang w:val="ru-RU"/>
            </w:rPr>
            <w:fldChar w:fldCharType="begin"/>
          </w:r>
          <w:r w:rsidR="00CA73BE" w:rsidRPr="007D792C">
            <w:rPr>
              <w:rFonts w:ascii="Myriad Pro" w:hAnsi="Myriad Pro"/>
              <w:bCs/>
              <w:noProof/>
              <w:lang w:val="ru-RU"/>
            </w:rPr>
            <w:instrText xml:space="preserve"> TOC \o "1-3" \h \z \u </w:instrText>
          </w:r>
          <w:r w:rsidRPr="007D792C">
            <w:rPr>
              <w:rFonts w:ascii="Myriad Pro" w:hAnsi="Myriad Pro"/>
              <w:bCs/>
              <w:noProof/>
              <w:lang w:val="ru-RU"/>
            </w:rPr>
            <w:fldChar w:fldCharType="separate"/>
          </w:r>
          <w:hyperlink w:anchor="_Toc173846497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I.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контекст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_Toc173846497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3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18870CB2" w14:textId="5BE47A4E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498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II.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цель и задача проекта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_Toc173846498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3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0FFED984" w14:textId="0CA4AA52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499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III.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общие условия проекта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_Toc173846499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4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3EEB500E" w14:textId="28496653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500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IV.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критерии приемлемости проекта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_Toc173846500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4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646AFE47" w14:textId="5DDE9B71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501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V.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требования к заявителям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_Toc173846501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5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77A9D7C9" w14:textId="0638A8A4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502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VI.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бюджет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_Toc173846502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5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49C82CBC" w14:textId="43F29C7C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503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VII.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критерии оценки проектных предложений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_Toc173846503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6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1F6905BC" w14:textId="0E50F92E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504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VIII.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процедура подачи заявки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_Toc173846504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8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1B0DC42E" w14:textId="0DE33BAF" w:rsidR="001850A1" w:rsidRDefault="00C40B5F">
          <w:pPr>
            <w:pStyle w:val="Cuprins1"/>
            <w:rPr>
              <w:rFonts w:asciiTheme="minorHAnsi" w:eastAsiaTheme="minorEastAsia" w:hAnsiTheme="minorHAnsi" w:cstheme="minorBidi"/>
              <w:noProof/>
              <w:snapToGrid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73846505" w:history="1">
            <w:r w:rsidR="001850A1" w:rsidRPr="00E27FC6">
              <w:rPr>
                <w:rStyle w:val="Hyperlink"/>
                <w:rFonts w:ascii="Arial" w:eastAsia="Arial" w:hAnsi="Arial" w:cs="Arial"/>
                <w:bCs/>
                <w:smallCaps/>
                <w:noProof/>
                <w:lang w:val="ru-RU"/>
              </w:rPr>
              <w:t>IX.</w:t>
            </w:r>
            <w:r w:rsidR="001850A1">
              <w:rPr>
                <w:rFonts w:asciiTheme="minorHAnsi" w:eastAsiaTheme="minorEastAsia" w:hAnsiTheme="minorHAnsi" w:cstheme="minorBidi"/>
                <w:noProof/>
                <w:snapToGrid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850A1" w:rsidRPr="00E27FC6">
              <w:rPr>
                <w:rStyle w:val="Hyperlink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процедура оценки и отбора</w:t>
            </w:r>
            <w:r w:rsidR="001850A1">
              <w:rPr>
                <w:noProof/>
                <w:webHidden/>
              </w:rPr>
              <w:tab/>
            </w:r>
            <w:r w:rsidR="001850A1">
              <w:rPr>
                <w:noProof/>
                <w:webHidden/>
              </w:rPr>
              <w:fldChar w:fldCharType="begin"/>
            </w:r>
            <w:r w:rsidR="001850A1">
              <w:rPr>
                <w:noProof/>
                <w:webHidden/>
              </w:rPr>
              <w:instrText xml:space="preserve"> PAGEREF _Toc173846505 \h </w:instrText>
            </w:r>
            <w:r w:rsidR="001850A1">
              <w:rPr>
                <w:noProof/>
                <w:webHidden/>
              </w:rPr>
            </w:r>
            <w:r w:rsidR="001850A1">
              <w:rPr>
                <w:noProof/>
                <w:webHidden/>
              </w:rPr>
              <w:fldChar w:fldCharType="separate"/>
            </w:r>
            <w:r w:rsidR="001850A1">
              <w:rPr>
                <w:noProof/>
                <w:webHidden/>
              </w:rPr>
              <w:t>8</w:t>
            </w:r>
            <w:r w:rsidR="001850A1">
              <w:rPr>
                <w:noProof/>
                <w:webHidden/>
              </w:rPr>
              <w:fldChar w:fldCharType="end"/>
            </w:r>
          </w:hyperlink>
        </w:p>
        <w:p w14:paraId="4B9F418C" w14:textId="7A2BEC1A" w:rsidR="00CA73BE" w:rsidRPr="007D792C" w:rsidRDefault="00842608">
          <w:pPr>
            <w:rPr>
              <w:rFonts w:ascii="Myriad Pro" w:hAnsi="Myriad Pro"/>
              <w:lang w:val="ru-RU"/>
            </w:rPr>
          </w:pPr>
          <w:r w:rsidRPr="007D792C">
            <w:rPr>
              <w:rFonts w:ascii="Myriad Pro" w:hAnsi="Myriad Pro"/>
              <w:bCs/>
              <w:noProof/>
              <w:lang w:val="ru-RU"/>
            </w:rPr>
            <w:fldChar w:fldCharType="end"/>
          </w:r>
        </w:p>
      </w:sdtContent>
    </w:sdt>
    <w:p w14:paraId="37A262F0" w14:textId="77777777" w:rsidR="00CA73BE" w:rsidRPr="007D792C" w:rsidRDefault="00CA73BE">
      <w:pPr>
        <w:spacing w:after="160" w:line="259" w:lineRule="auto"/>
        <w:rPr>
          <w:rFonts w:ascii="Myriad Pro" w:eastAsiaTheme="majorEastAsia" w:hAnsi="Myriad Pro" w:cs="Arial"/>
          <w:smallCaps/>
          <w:snapToGrid/>
          <w:color w:val="2F5496" w:themeColor="accent1" w:themeShade="BF"/>
          <w:sz w:val="22"/>
          <w:szCs w:val="22"/>
          <w:lang w:val="ru-RU"/>
        </w:rPr>
      </w:pPr>
      <w:r w:rsidRPr="007D792C">
        <w:rPr>
          <w:rFonts w:ascii="Myriad Pro" w:hAnsi="Myriad Pro" w:cs="Arial"/>
          <w:smallCaps/>
          <w:snapToGrid/>
          <w:sz w:val="22"/>
          <w:szCs w:val="22"/>
          <w:lang w:val="ru-RU"/>
        </w:rPr>
        <w:br w:type="page"/>
      </w:r>
    </w:p>
    <w:p w14:paraId="6BBA6B2D" w14:textId="584042C1" w:rsidR="00122E44" w:rsidRPr="007D792C" w:rsidRDefault="005E7D62" w:rsidP="005A072D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2" w:name="_Toc173846497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lastRenderedPageBreak/>
        <w:t>ко</w:t>
      </w:r>
      <w:r w:rsidR="00821CA5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нтекст</w:t>
      </w:r>
      <w:bookmarkEnd w:id="2"/>
      <w:r w:rsidR="00821CA5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0D5194B5" w14:textId="3818F14E" w:rsidR="0030543A" w:rsidRPr="003506C2" w:rsidRDefault="0030543A" w:rsidP="0030543A">
      <w:pPr>
        <w:widowControl w:val="0"/>
        <w:spacing w:before="240" w:after="240" w:line="276" w:lineRule="auto"/>
        <w:jc w:val="both"/>
        <w:rPr>
          <w:rFonts w:eastAsia="Batang"/>
          <w:szCs w:val="24"/>
          <w:lang w:val="ro-RO"/>
        </w:rPr>
      </w:pPr>
      <w:r w:rsidRPr="007D792C">
        <w:rPr>
          <w:rFonts w:eastAsia="Batang"/>
          <w:szCs w:val="24"/>
          <w:lang w:val="ru-RU"/>
        </w:rPr>
        <w:t>Согласно Индексу социальной сплоченности и примирения ООН (SCORE), общая социальная сплоченность в Республике Молдова остается неустойчивой. Ситуация еще больше ухудшилась после вторжения России в Украину в феврале 2022 года. Война в Украине усилила существующие разногласия между различными группами населения Молдовы, причем не только между жителями левого и правого берегов Днестра, но и между группами людей внутри одно</w:t>
      </w:r>
      <w:r w:rsidR="00890B9F">
        <w:rPr>
          <w:rFonts w:eastAsia="Batang"/>
          <w:szCs w:val="24"/>
          <w:lang w:val="ru-RU"/>
        </w:rPr>
        <w:t>го</w:t>
      </w:r>
      <w:r w:rsidRPr="007D792C">
        <w:rPr>
          <w:rFonts w:eastAsia="Batang"/>
          <w:szCs w:val="24"/>
          <w:lang w:val="ru-RU"/>
        </w:rPr>
        <w:t xml:space="preserve"> </w:t>
      </w:r>
      <w:r w:rsidR="00890B9F">
        <w:rPr>
          <w:rFonts w:eastAsia="Batang"/>
          <w:szCs w:val="24"/>
          <w:lang w:val="ru-RU"/>
        </w:rPr>
        <w:t>сообщества</w:t>
      </w:r>
      <w:r w:rsidRPr="007D792C">
        <w:rPr>
          <w:rFonts w:eastAsia="Batang"/>
          <w:szCs w:val="24"/>
          <w:lang w:val="ru-RU"/>
        </w:rPr>
        <w:t>. Политические убеждения населения по обе стороны Днестра порождают все больший поток дезинформации и языка вражды, что еще больше ослабляет хрупкую социальную сплоченность в стране. Этот поток в значительной степени исходит из интернет-среды и искусственно подпитывается дезинформацией</w:t>
      </w:r>
      <w:r w:rsidR="003506C2">
        <w:rPr>
          <w:rFonts w:eastAsia="Batang"/>
          <w:szCs w:val="24"/>
          <w:lang w:val="ro-RO"/>
        </w:rPr>
        <w:t>.</w:t>
      </w:r>
    </w:p>
    <w:p w14:paraId="1F383A4A" w14:textId="2FEE1707" w:rsidR="00C738A4" w:rsidRPr="007D792C" w:rsidRDefault="0030543A" w:rsidP="00F767E2">
      <w:pPr>
        <w:widowControl w:val="0"/>
        <w:spacing w:before="240" w:after="240" w:line="276" w:lineRule="auto"/>
        <w:jc w:val="both"/>
        <w:rPr>
          <w:rFonts w:eastAsia="Batang"/>
          <w:szCs w:val="24"/>
          <w:lang w:val="ru-RU"/>
        </w:rPr>
      </w:pPr>
      <w:r w:rsidRPr="007D792C">
        <w:rPr>
          <w:rFonts w:eastAsia="Batang"/>
          <w:szCs w:val="24"/>
          <w:lang w:val="ru-RU"/>
        </w:rPr>
        <w:t xml:space="preserve">Беженцы из Украины также стали объектом ненависти и дезинформации. </w:t>
      </w:r>
      <w:r w:rsidR="00900F97">
        <w:rPr>
          <w:rFonts w:eastAsia="Batang"/>
          <w:szCs w:val="24"/>
          <w:lang w:val="ru-RU"/>
        </w:rPr>
        <w:t>М</w:t>
      </w:r>
      <w:r w:rsidRPr="007D792C">
        <w:rPr>
          <w:rFonts w:eastAsia="Batang"/>
          <w:szCs w:val="24"/>
          <w:lang w:val="ru-RU"/>
        </w:rPr>
        <w:t>ассовый приток беженцев из Украины оказывает значительное социально-экономическое давление на страну, а их ограниченные возможности интеграции в молдавское общество создают дополнительные препятствия для реализации социальной сплоченности</w:t>
      </w:r>
      <w:r w:rsidR="00534A85" w:rsidRPr="007D792C">
        <w:rPr>
          <w:rFonts w:eastAsia="Batang"/>
          <w:szCs w:val="24"/>
          <w:lang w:val="ru-RU"/>
        </w:rPr>
        <w:t>.</w:t>
      </w:r>
    </w:p>
    <w:p w14:paraId="30FC9A35" w14:textId="0DE7246E" w:rsidR="00236C4D" w:rsidRPr="007D792C" w:rsidRDefault="00C925F0" w:rsidP="00A06AC3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7D792C">
        <w:rPr>
          <w:rFonts w:eastAsia="Batang"/>
          <w:szCs w:val="24"/>
          <w:lang w:val="ru-RU"/>
        </w:rPr>
        <w:t xml:space="preserve">На фоне растущей региональной и национальной политической напряженности, разделенных нарративов и растущего </w:t>
      </w:r>
      <w:r w:rsidR="003A69D2">
        <w:rPr>
          <w:rFonts w:eastAsia="Batang"/>
          <w:szCs w:val="24"/>
          <w:lang w:val="ru-RU"/>
        </w:rPr>
        <w:t>объёма риторики, вызывающей</w:t>
      </w:r>
      <w:r w:rsidR="003A69D2" w:rsidRPr="007D792C">
        <w:rPr>
          <w:rFonts w:eastAsia="Batang"/>
          <w:szCs w:val="24"/>
          <w:lang w:val="ru-RU"/>
        </w:rPr>
        <w:t xml:space="preserve"> </w:t>
      </w:r>
      <w:r w:rsidRPr="007D792C">
        <w:rPr>
          <w:rFonts w:eastAsia="Batang"/>
          <w:szCs w:val="24"/>
          <w:lang w:val="ru-RU"/>
        </w:rPr>
        <w:t>ненавист</w:t>
      </w:r>
      <w:r w:rsidR="003A69D2">
        <w:rPr>
          <w:rFonts w:eastAsia="Batang"/>
          <w:szCs w:val="24"/>
          <w:lang w:val="ru-RU"/>
        </w:rPr>
        <w:t>ь</w:t>
      </w:r>
      <w:r w:rsidR="0076382E">
        <w:rPr>
          <w:rFonts w:eastAsia="Batang"/>
          <w:szCs w:val="24"/>
          <w:lang w:val="ro-RO"/>
        </w:rPr>
        <w:t>,</w:t>
      </w:r>
      <w:r w:rsidRPr="007D792C">
        <w:rPr>
          <w:rFonts w:eastAsia="Batang"/>
          <w:szCs w:val="24"/>
          <w:lang w:val="ru-RU"/>
        </w:rPr>
        <w:t xml:space="preserve"> усилия по укреплению доверия и борьбе с дезинформацией между обеими сторонами Днестра сегодня важны как никогда.</w:t>
      </w:r>
      <w:r w:rsidR="008F5DEE" w:rsidRPr="007D792C">
        <w:rPr>
          <w:rFonts w:eastAsia="Batang"/>
          <w:szCs w:val="24"/>
          <w:lang w:val="ru-RU"/>
        </w:rPr>
        <w:t xml:space="preserve"> </w:t>
      </w:r>
    </w:p>
    <w:p w14:paraId="040F7250" w14:textId="33E6A6B3" w:rsidR="00823464" w:rsidRPr="007D792C" w:rsidRDefault="005B0FCB" w:rsidP="00A06AC3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7D792C">
        <w:rPr>
          <w:rFonts w:eastAsia="Batang"/>
          <w:szCs w:val="24"/>
          <w:lang w:val="ru-RU"/>
        </w:rPr>
        <w:t xml:space="preserve">Внедряя проект </w:t>
      </w:r>
      <w:r w:rsidR="009C61F7">
        <w:rPr>
          <w:rFonts w:eastAsia="Batang"/>
          <w:szCs w:val="24"/>
          <w:lang w:val="ru-RU"/>
        </w:rPr>
        <w:t>«</w:t>
      </w:r>
      <w:r w:rsidRPr="007D792C">
        <w:rPr>
          <w:rFonts w:eastAsia="Batang"/>
          <w:szCs w:val="24"/>
          <w:lang w:val="ru-RU"/>
        </w:rPr>
        <w:t>Построение устойчивого и инклюзивного мира, укрепление доверия и социальной сплоченности на обоих берегах Днестра</w:t>
      </w:r>
      <w:r w:rsidR="009C61F7">
        <w:rPr>
          <w:rFonts w:eastAsia="Batang"/>
          <w:szCs w:val="24"/>
          <w:lang w:val="ru-RU"/>
        </w:rPr>
        <w:t>»</w:t>
      </w:r>
      <w:r w:rsidRPr="007D792C">
        <w:rPr>
          <w:rFonts w:eastAsia="Batang"/>
          <w:szCs w:val="24"/>
          <w:lang w:val="ru-RU"/>
        </w:rPr>
        <w:t>, ПРООН Молдова стремится укрепить существующие отношения между сообществами на левом и правом берегах Днестра, а также между отдельными группами общества</w:t>
      </w:r>
      <w:r w:rsidR="002573D2" w:rsidRPr="007D792C">
        <w:rPr>
          <w:rFonts w:eastAsia="Batang"/>
          <w:szCs w:val="24"/>
          <w:lang w:val="ru-RU"/>
        </w:rPr>
        <w:t>.</w:t>
      </w:r>
    </w:p>
    <w:p w14:paraId="2E372F27" w14:textId="32DBA79B" w:rsidR="00FA1046" w:rsidRPr="007D792C" w:rsidRDefault="00821CA5" w:rsidP="001F408B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3" w:name="_Toc173846498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цель и за</w:t>
      </w:r>
      <w:r w:rsidR="00C33160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дача проекта</w:t>
      </w:r>
      <w:bookmarkEnd w:id="3"/>
      <w:r w:rsidR="00C33160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74F0E471" w14:textId="3D223B34" w:rsidR="004A7BCD" w:rsidRPr="007D792C" w:rsidRDefault="00D72CA0" w:rsidP="00A06AC3">
      <w:pPr>
        <w:widowControl w:val="0"/>
        <w:spacing w:before="240" w:after="240" w:line="276" w:lineRule="auto"/>
        <w:jc w:val="both"/>
        <w:rPr>
          <w:rFonts w:eastAsia="Batang"/>
          <w:szCs w:val="24"/>
          <w:lang w:val="ru-RU"/>
        </w:rPr>
      </w:pPr>
      <w:r w:rsidRPr="007D792C">
        <w:rPr>
          <w:lang w:val="ru-RU"/>
        </w:rPr>
        <w:t>Проект направлен на усиление мер по борьбе с высказываниями</w:t>
      </w:r>
      <w:r w:rsidR="00657407">
        <w:rPr>
          <w:lang w:val="ru-RU"/>
        </w:rPr>
        <w:t>, разделяющими общество,</w:t>
      </w:r>
      <w:r w:rsidRPr="007D792C">
        <w:rPr>
          <w:lang w:val="ru-RU"/>
        </w:rPr>
        <w:t xml:space="preserve"> и дезинформацией, что будет способствовать снижению </w:t>
      </w:r>
      <w:r w:rsidR="00500217">
        <w:rPr>
          <w:lang w:val="ru-RU"/>
        </w:rPr>
        <w:t>социальной</w:t>
      </w:r>
      <w:r w:rsidR="00500217" w:rsidRPr="007D792C">
        <w:rPr>
          <w:lang w:val="ru-RU"/>
        </w:rPr>
        <w:t xml:space="preserve"> </w:t>
      </w:r>
      <w:r w:rsidRPr="007D792C">
        <w:rPr>
          <w:lang w:val="ru-RU"/>
        </w:rPr>
        <w:t>напряженности</w:t>
      </w:r>
      <w:r w:rsidR="000160AE" w:rsidRPr="007D792C">
        <w:rPr>
          <w:rFonts w:eastAsia="Batang"/>
          <w:szCs w:val="24"/>
          <w:lang w:val="ru-RU"/>
        </w:rPr>
        <w:t>.</w:t>
      </w:r>
    </w:p>
    <w:p w14:paraId="60FEEF27" w14:textId="35C561D3" w:rsidR="00FE7F0C" w:rsidRPr="007D792C" w:rsidRDefault="00D72CA0" w:rsidP="00A06AC3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7D792C">
        <w:rPr>
          <w:rFonts w:eastAsia="Batang"/>
          <w:szCs w:val="24"/>
          <w:lang w:val="ru-RU"/>
        </w:rPr>
        <w:t xml:space="preserve">Цель проекта - разработать цифровые решения для борьбы с </w:t>
      </w:r>
      <w:r w:rsidR="00BE7D21" w:rsidRPr="007D792C">
        <w:rPr>
          <w:rFonts w:eastAsia="Batang"/>
          <w:szCs w:val="24"/>
          <w:lang w:val="ru-RU"/>
        </w:rPr>
        <w:t>дезинформацией и языком вражды</w:t>
      </w:r>
      <w:r w:rsidRPr="007D792C">
        <w:rPr>
          <w:rFonts w:eastAsia="Batang"/>
          <w:szCs w:val="24"/>
          <w:lang w:val="ru-RU"/>
        </w:rPr>
        <w:t xml:space="preserve"> в </w:t>
      </w:r>
      <w:r w:rsidR="00A55A29">
        <w:rPr>
          <w:rFonts w:eastAsia="Batang"/>
          <w:szCs w:val="24"/>
          <w:lang w:val="ru-RU"/>
        </w:rPr>
        <w:t>онлайн среде</w:t>
      </w:r>
      <w:r w:rsidR="00FE7F0C" w:rsidRPr="007D792C">
        <w:rPr>
          <w:rFonts w:eastAsia="Batang"/>
          <w:szCs w:val="24"/>
          <w:lang w:val="ru-RU"/>
        </w:rPr>
        <w:t>.</w:t>
      </w:r>
    </w:p>
    <w:p w14:paraId="75E469CB" w14:textId="31026AE5" w:rsidR="0038463E" w:rsidRPr="0038463E" w:rsidRDefault="0038463E" w:rsidP="0038463E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38463E">
        <w:rPr>
          <w:rFonts w:eastAsia="Batang"/>
          <w:szCs w:val="24"/>
          <w:lang w:val="ru-RU"/>
        </w:rPr>
        <w:t xml:space="preserve">Эта инициатива направлена на развитие результатов хакатона "Nistru TruthBridge", организованного в рамках проекта "Построение устойчивого и инклюзивного мира, укрепление доверия и социальной сплоченности на обоих берегах </w:t>
      </w:r>
      <w:r>
        <w:rPr>
          <w:rFonts w:eastAsia="Batang"/>
          <w:szCs w:val="24"/>
          <w:lang w:val="ru-RU"/>
        </w:rPr>
        <w:t>Д</w:t>
      </w:r>
      <w:r w:rsidRPr="0038463E">
        <w:rPr>
          <w:rFonts w:eastAsia="Batang"/>
          <w:szCs w:val="24"/>
          <w:lang w:val="ru-RU"/>
        </w:rPr>
        <w:t>нестра". В ходе хакатона</w:t>
      </w:r>
      <w:r w:rsidR="000E0449">
        <w:rPr>
          <w:rFonts w:eastAsia="Batang"/>
          <w:szCs w:val="24"/>
          <w:lang w:val="ro-RO"/>
        </w:rPr>
        <w:t>,</w:t>
      </w:r>
      <w:r w:rsidRPr="0038463E">
        <w:rPr>
          <w:rFonts w:eastAsia="Batang"/>
          <w:szCs w:val="24"/>
          <w:lang w:val="ru-RU"/>
        </w:rPr>
        <w:t xml:space="preserve"> из 11 команд-участниц</w:t>
      </w:r>
      <w:r w:rsidR="000E0449">
        <w:rPr>
          <w:rFonts w:eastAsia="Batang"/>
          <w:szCs w:val="24"/>
          <w:lang w:val="ro-RO"/>
        </w:rPr>
        <w:t>,</w:t>
      </w:r>
      <w:r w:rsidRPr="0038463E">
        <w:rPr>
          <w:rFonts w:eastAsia="Batang"/>
          <w:szCs w:val="24"/>
          <w:lang w:val="ru-RU"/>
        </w:rPr>
        <w:t xml:space="preserve"> были отобраны 3 инновационные концепции цифровых инструментов, направленных на предотвращение и борьбу с дезинформацией и языком вражды, а также на продвижение проверенного и достоверного контента в </w:t>
      </w:r>
      <w:r w:rsidR="009C6A57">
        <w:rPr>
          <w:rFonts w:eastAsia="Batang"/>
          <w:szCs w:val="24"/>
          <w:lang w:val="ru-RU"/>
        </w:rPr>
        <w:t>онлайн среде</w:t>
      </w:r>
      <w:r w:rsidRPr="0038463E">
        <w:rPr>
          <w:rFonts w:eastAsia="Batang"/>
          <w:szCs w:val="24"/>
          <w:lang w:val="ru-RU"/>
        </w:rPr>
        <w:t xml:space="preserve">. </w:t>
      </w:r>
    </w:p>
    <w:p w14:paraId="56BB97D7" w14:textId="0D9782BF" w:rsidR="0038463E" w:rsidRPr="008718B4" w:rsidRDefault="0038463E" w:rsidP="0038463E">
      <w:pPr>
        <w:widowControl w:val="0"/>
        <w:spacing w:after="240" w:line="276" w:lineRule="auto"/>
        <w:jc w:val="both"/>
        <w:rPr>
          <w:rFonts w:eastAsia="Batang"/>
          <w:szCs w:val="24"/>
          <w:lang w:val="ro-RO"/>
        </w:rPr>
      </w:pPr>
      <w:r w:rsidRPr="0038463E">
        <w:rPr>
          <w:rFonts w:eastAsia="Batang"/>
          <w:szCs w:val="24"/>
          <w:lang w:val="ru-RU"/>
        </w:rPr>
        <w:t xml:space="preserve">Таким образом, проект направлен на выявление организаций, которые предложат применимые и устойчивые цифровые решения для борьбы с дезинформацией и языком вражды в </w:t>
      </w:r>
      <w:r w:rsidR="00D06328" w:rsidRPr="00D06328">
        <w:rPr>
          <w:rFonts w:eastAsia="Batang"/>
          <w:szCs w:val="24"/>
          <w:lang w:val="ru-RU"/>
        </w:rPr>
        <w:t>онлайн среде</w:t>
      </w:r>
      <w:r w:rsidRPr="0038463E">
        <w:rPr>
          <w:rFonts w:eastAsia="Batang"/>
          <w:szCs w:val="24"/>
          <w:lang w:val="ru-RU"/>
        </w:rPr>
        <w:t>.</w:t>
      </w:r>
    </w:p>
    <w:p w14:paraId="3301A13C" w14:textId="7D8BF1AD" w:rsidR="00BD282A" w:rsidRPr="007D792C" w:rsidRDefault="00F84351" w:rsidP="00BD282A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4" w:name="_Toc171004977"/>
      <w:bookmarkStart w:id="5" w:name="_Toc173846499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lastRenderedPageBreak/>
        <w:t>об</w:t>
      </w:r>
      <w:r w:rsidR="00DC6AC9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щие условия проекта</w:t>
      </w:r>
      <w:bookmarkEnd w:id="4"/>
      <w:bookmarkEnd w:id="5"/>
      <w:r w:rsidR="00BD282A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4AB8DD28" w14:textId="1B744351" w:rsidR="00E03B54" w:rsidRPr="007D792C" w:rsidRDefault="003E268F" w:rsidP="00A06AC3">
      <w:pPr>
        <w:spacing w:before="240" w:after="120" w:line="276" w:lineRule="auto"/>
        <w:jc w:val="both"/>
        <w:rPr>
          <w:rFonts w:eastAsiaTheme="majorEastAsia"/>
          <w:szCs w:val="24"/>
          <w:lang w:val="ru-RU"/>
        </w:rPr>
      </w:pPr>
      <w:r w:rsidRPr="007D792C">
        <w:rPr>
          <w:rFonts w:eastAsiaTheme="majorEastAsia"/>
          <w:szCs w:val="24"/>
          <w:lang w:val="ru-RU"/>
        </w:rPr>
        <w:t xml:space="preserve">Проект будет реализован путем предоставления </w:t>
      </w:r>
      <w:r w:rsidR="0038463E">
        <w:rPr>
          <w:rFonts w:eastAsiaTheme="majorEastAsia"/>
          <w:szCs w:val="24"/>
          <w:lang w:val="ru-RU"/>
        </w:rPr>
        <w:t>3</w:t>
      </w:r>
      <w:r w:rsidR="000A48A2">
        <w:rPr>
          <w:rFonts w:eastAsiaTheme="majorEastAsia"/>
          <w:szCs w:val="24"/>
          <w:lang w:val="ru-MD"/>
        </w:rPr>
        <w:t xml:space="preserve"> </w:t>
      </w:r>
      <w:r w:rsidRPr="007D792C">
        <w:rPr>
          <w:rFonts w:eastAsiaTheme="majorEastAsia"/>
          <w:szCs w:val="24"/>
          <w:lang w:val="ru-RU"/>
        </w:rPr>
        <w:t>грантов на сумму не более 35</w:t>
      </w:r>
      <w:r w:rsidR="003C4AD9">
        <w:rPr>
          <w:rFonts w:eastAsiaTheme="majorEastAsia"/>
          <w:szCs w:val="24"/>
          <w:lang w:val="ro-RO"/>
        </w:rPr>
        <w:t>,</w:t>
      </w:r>
      <w:r w:rsidRPr="007D792C">
        <w:rPr>
          <w:rFonts w:eastAsiaTheme="majorEastAsia"/>
          <w:szCs w:val="24"/>
          <w:lang w:val="ru-RU"/>
        </w:rPr>
        <w:t>000 долларов США</w:t>
      </w:r>
      <w:r w:rsidR="0038463E">
        <w:rPr>
          <w:rFonts w:eastAsiaTheme="majorEastAsia"/>
          <w:szCs w:val="24"/>
          <w:lang w:val="ru-RU"/>
        </w:rPr>
        <w:t xml:space="preserve"> каждый</w:t>
      </w:r>
      <w:r w:rsidRPr="007D792C">
        <w:rPr>
          <w:rFonts w:eastAsiaTheme="majorEastAsia"/>
          <w:szCs w:val="24"/>
          <w:lang w:val="ru-RU"/>
        </w:rPr>
        <w:t xml:space="preserve">. Срок завершения проекта - 31 января 2025 г. Гранты будут предоставлены только неправительственным организациям, зарегистрированным в соответствии с национальным законодательством Республики Молдова. </w:t>
      </w:r>
      <w:r w:rsidR="003A5DEC" w:rsidRPr="008718B4">
        <w:rPr>
          <w:rFonts w:eastAsiaTheme="majorEastAsia"/>
          <w:szCs w:val="24"/>
          <w:lang w:val="ru-RU"/>
        </w:rPr>
        <w:t>Заявители могут участвовать индивидуально или в консорциуме, состоящем максимум из двух организаций. Заявител</w:t>
      </w:r>
      <w:r w:rsidR="00E24E84">
        <w:rPr>
          <w:rFonts w:eastAsiaTheme="majorEastAsia"/>
          <w:szCs w:val="24"/>
          <w:lang w:val="ru-RU"/>
        </w:rPr>
        <w:t>и</w:t>
      </w:r>
      <w:r w:rsidR="003A5DEC" w:rsidRPr="008718B4">
        <w:rPr>
          <w:rFonts w:eastAsiaTheme="majorEastAsia"/>
          <w:szCs w:val="24"/>
          <w:lang w:val="ru-RU"/>
        </w:rPr>
        <w:t xml:space="preserve"> должен</w:t>
      </w:r>
      <w:r w:rsidR="001850A1">
        <w:rPr>
          <w:rFonts w:eastAsiaTheme="majorEastAsia"/>
          <w:szCs w:val="24"/>
          <w:lang w:val="ru-RU"/>
        </w:rPr>
        <w:t>ы</w:t>
      </w:r>
      <w:r w:rsidR="003A5DEC" w:rsidRPr="008718B4">
        <w:rPr>
          <w:rFonts w:eastAsiaTheme="majorEastAsia"/>
          <w:szCs w:val="24"/>
          <w:lang w:val="ru-RU"/>
        </w:rPr>
        <w:t xml:space="preserve"> иметь банковский счет в </w:t>
      </w:r>
      <w:r w:rsidR="0070457C">
        <w:rPr>
          <w:rFonts w:eastAsiaTheme="majorEastAsia"/>
          <w:szCs w:val="24"/>
          <w:lang w:val="ru-RU"/>
        </w:rPr>
        <w:t>молдавски</w:t>
      </w:r>
      <w:r w:rsidR="005C6FE6">
        <w:rPr>
          <w:rFonts w:eastAsiaTheme="majorEastAsia"/>
          <w:szCs w:val="24"/>
          <w:lang w:val="ru-RU"/>
        </w:rPr>
        <w:t>х леях</w:t>
      </w:r>
      <w:r w:rsidR="003A5DEC" w:rsidRPr="008718B4">
        <w:rPr>
          <w:rFonts w:eastAsiaTheme="majorEastAsia"/>
          <w:szCs w:val="24"/>
          <w:lang w:val="ru-RU"/>
        </w:rPr>
        <w:t xml:space="preserve">, предназначенный для </w:t>
      </w:r>
      <w:r w:rsidR="003E4EB4" w:rsidRPr="003E4EB4">
        <w:rPr>
          <w:rFonts w:eastAsiaTheme="majorEastAsia"/>
          <w:szCs w:val="24"/>
          <w:lang w:val="ru-RU"/>
        </w:rPr>
        <w:t xml:space="preserve">данного </w:t>
      </w:r>
      <w:r w:rsidR="003A5DEC" w:rsidRPr="008718B4">
        <w:rPr>
          <w:rFonts w:eastAsiaTheme="majorEastAsia"/>
          <w:szCs w:val="24"/>
          <w:lang w:val="ru-RU"/>
        </w:rPr>
        <w:t>проекта.</w:t>
      </w:r>
      <w:r w:rsidR="001334CA" w:rsidRPr="003A5DEC">
        <w:rPr>
          <w:rFonts w:eastAsiaTheme="majorEastAsia"/>
          <w:szCs w:val="24"/>
          <w:lang w:val="ru-RU"/>
        </w:rPr>
        <w:t xml:space="preserve"> </w:t>
      </w:r>
      <w:r w:rsidR="00EF293C" w:rsidRPr="00EF293C">
        <w:rPr>
          <w:rFonts w:eastAsiaTheme="majorEastAsia"/>
          <w:szCs w:val="24"/>
          <w:lang w:val="ru-RU"/>
        </w:rPr>
        <w:t>Грант будет выплачен в молдавских леях по курсу UNORE на дату перевода</w:t>
      </w:r>
      <w:r w:rsidR="00EF293C">
        <w:rPr>
          <w:rFonts w:eastAsiaTheme="majorEastAsia"/>
          <w:szCs w:val="24"/>
          <w:lang w:val="ro-RO"/>
        </w:rPr>
        <w:t>.</w:t>
      </w:r>
      <w:r w:rsidR="00EF293C" w:rsidRPr="00EF293C">
        <w:rPr>
          <w:rFonts w:eastAsiaTheme="majorEastAsia"/>
          <w:szCs w:val="24"/>
          <w:lang w:val="ru-RU"/>
        </w:rPr>
        <w:t xml:space="preserve"> </w:t>
      </w:r>
      <w:r w:rsidRPr="007D792C">
        <w:rPr>
          <w:rFonts w:eastAsiaTheme="majorEastAsia"/>
          <w:szCs w:val="24"/>
          <w:lang w:val="ru-RU"/>
        </w:rPr>
        <w:t>Заявители могут представить предложения по различным цифровым решениям. Ожидаются следующие типы цифровых решений, но не только</w:t>
      </w:r>
      <w:r w:rsidR="00E03B54" w:rsidRPr="007D792C">
        <w:rPr>
          <w:rFonts w:eastAsiaTheme="majorEastAsia"/>
          <w:szCs w:val="24"/>
          <w:lang w:val="ru-RU"/>
        </w:rPr>
        <w:t>:</w:t>
      </w:r>
    </w:p>
    <w:p w14:paraId="521DBF28" w14:textId="002DB7A3" w:rsidR="001E5FAE" w:rsidRPr="007D792C" w:rsidRDefault="00510B52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Р</w:t>
      </w:r>
      <w:r w:rsidR="003E268F"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асширение браузера - </w:t>
      </w:r>
      <w:r w:rsidR="003E268F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расширения браузера, которые помогают пользователям выявлять и проверять потенциально ложную информацию или ненавистный контент во время просмотра веб-страниц</w:t>
      </w:r>
      <w:r w:rsidR="00F44F68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719D5181" w14:textId="5F475A67" w:rsidR="00F44F68" w:rsidRPr="007D792C" w:rsidRDefault="00510B52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Веб-платформы для модерации контента на основе искусственного интеллекта - </w:t>
      </w: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платформы, использующие искусственный интеллект для обнаружения и маркировки языка вражды или ложной информации в социальных сетях в режиме реального времени</w:t>
      </w:r>
      <w:r w:rsidR="00150DF7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2D71E9D2" w14:textId="3AADE8AD" w:rsidR="00E606A7" w:rsidRPr="007D792C" w:rsidRDefault="00851823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</w:t>
      </w:r>
      <w:r w:rsidR="00510B52"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обильное приложение для информирования сообщества - </w:t>
      </w:r>
      <w:r w:rsidR="00510B52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мобильные приложения, позволяющие пользователям анонимно сообщать о случаях разжигания ненависти и дезинформации</w:t>
      </w:r>
      <w:r w:rsidR="00E606A7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42507185" w14:textId="765E1E39" w:rsidR="001E5FAE" w:rsidRPr="007D792C" w:rsidRDefault="007D792C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Медиа образовательная</w:t>
      </w:r>
      <w:r w:rsidR="00851823"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платформа - </w:t>
      </w:r>
      <w:r w:rsidR="00851823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предлагаемые образовательные решения могут быть разных типов: образовательные платформы, увлекательные геймифицированные обучающие системы, чат</w:t>
      </w:r>
      <w:r>
        <w:rPr>
          <w:rFonts w:ascii="Times New Roman" w:eastAsiaTheme="majorEastAsia" w:hAnsi="Times New Roman" w:cs="Times New Roman"/>
          <w:sz w:val="24"/>
          <w:szCs w:val="24"/>
          <w:lang w:val="ru-RU"/>
        </w:rPr>
        <w:t>-</w:t>
      </w:r>
      <w:r w:rsidR="00851823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боты и </w:t>
      </w: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т. д.</w:t>
      </w:r>
    </w:p>
    <w:p w14:paraId="31A51F3A" w14:textId="6D02142F" w:rsidR="006F19A9" w:rsidRPr="007D792C" w:rsidRDefault="009B4075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Платформа проверенных /</w:t>
      </w:r>
      <w:r w:rsidR="0055764E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</w:t>
      </w:r>
      <w:r w:rsidR="007778F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ложных</w:t>
      </w:r>
      <w:r w:rsidR="00613FB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или фейковых</w:t>
      </w:r>
      <w:r w:rsidR="007778F1"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новостей - </w:t>
      </w: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платформы, которые агрегируют новости из проверенных источников, предоставляют инструменты для проверки подлинности новостей или создают платформу для сбора </w:t>
      </w:r>
      <w:r w:rsidR="008B7DC2" w:rsidRPr="008B7DC2">
        <w:rPr>
          <w:rFonts w:ascii="Times New Roman" w:eastAsiaTheme="majorEastAsia" w:hAnsi="Times New Roman" w:cs="Times New Roman"/>
          <w:sz w:val="24"/>
          <w:szCs w:val="24"/>
          <w:lang w:val="ru-RU"/>
        </w:rPr>
        <w:t>фейковых</w:t>
      </w:r>
      <w:r w:rsidR="008B7DC2" w:rsidRPr="008B7DC2" w:rsidDel="008B7DC2">
        <w:rPr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новостей</w:t>
      </w:r>
      <w:r w:rsidR="00BD2980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720A8224" w14:textId="3B80AFB9" w:rsidR="009345ED" w:rsidRPr="007D792C" w:rsidRDefault="009B4075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Система проверки новостей на основе блокчейна - </w:t>
      </w: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система на основе блокчейна для проверки подлинности и происхождения новостных статей и постов в социальных сетях</w:t>
      </w:r>
      <w:r w:rsidR="00271607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7D348FC8" w14:textId="12F4E756" w:rsidR="003C4E3B" w:rsidRPr="007D792C" w:rsidRDefault="00024905" w:rsidP="00A06AC3">
      <w:pPr>
        <w:pStyle w:val="Listparagraf"/>
        <w:numPr>
          <w:ilvl w:val="0"/>
          <w:numId w:val="26"/>
        </w:numPr>
        <w:spacing w:before="240"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</w:t>
      </w:r>
      <w:r w:rsidR="009B4075" w:rsidRPr="007D792C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одель и/или набор справочных данных для обнаружения языка ненависти - </w:t>
      </w:r>
      <w:r w:rsidR="009B4075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модель обнаружения языка ненависти и/или наборы справочных данных для обнаружения языка ненависти</w:t>
      </w:r>
      <w:r w:rsidR="00707666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580A3C63" w14:textId="01FE9E50" w:rsidR="0087443D" w:rsidRPr="007D792C" w:rsidRDefault="00A66468" w:rsidP="0087443D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6" w:name="_Toc171004978"/>
      <w:bookmarkStart w:id="7" w:name="_Toc173846500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к</w:t>
      </w:r>
      <w:r w:rsidR="0007350A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ритерии приемлемости проекта</w:t>
      </w:r>
      <w:bookmarkEnd w:id="6"/>
      <w:bookmarkEnd w:id="7"/>
      <w:r w:rsidR="0007350A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1E0A83B8" w14:textId="5F34BE9B" w:rsidR="007210B7" w:rsidRPr="007D792C" w:rsidRDefault="004F4F5B" w:rsidP="00A06AC3">
      <w:pPr>
        <w:spacing w:before="240" w:after="120" w:line="276" w:lineRule="auto"/>
        <w:jc w:val="both"/>
        <w:rPr>
          <w:rFonts w:eastAsiaTheme="majorEastAsia"/>
          <w:szCs w:val="24"/>
          <w:lang w:val="ru-RU"/>
        </w:rPr>
      </w:pPr>
      <w:r w:rsidRPr="007D792C">
        <w:rPr>
          <w:rFonts w:eastAsiaTheme="majorEastAsia"/>
          <w:szCs w:val="24"/>
          <w:lang w:val="ru-RU"/>
        </w:rPr>
        <w:t>Претенденты могут подавать заявки на разработку новых цифровых решений или модернизацию/расширение существующих цифровых решений с помощью новых функциональных возможностей</w:t>
      </w:r>
      <w:r w:rsidR="00D53D06" w:rsidRPr="007D792C">
        <w:rPr>
          <w:rFonts w:eastAsiaTheme="majorEastAsia"/>
          <w:szCs w:val="24"/>
          <w:lang w:val="ru-RU"/>
        </w:rPr>
        <w:t>.</w:t>
      </w:r>
    </w:p>
    <w:p w14:paraId="31368B7D" w14:textId="22F26A70" w:rsidR="00D75E9F" w:rsidRPr="007D792C" w:rsidRDefault="008C1028" w:rsidP="00A06AC3">
      <w:pPr>
        <w:spacing w:before="240" w:line="276" w:lineRule="auto"/>
        <w:jc w:val="both"/>
        <w:rPr>
          <w:rFonts w:eastAsiaTheme="majorEastAsia"/>
          <w:szCs w:val="24"/>
          <w:lang w:val="ru-RU"/>
        </w:rPr>
      </w:pPr>
      <w:r w:rsidRPr="007D792C">
        <w:rPr>
          <w:rFonts w:eastAsiaTheme="majorEastAsia"/>
          <w:szCs w:val="24"/>
          <w:lang w:val="ru-RU"/>
        </w:rPr>
        <w:t>К участию в конкурсе будут допущены проектные предложения, отвечающие следующим критериям</w:t>
      </w:r>
      <w:r w:rsidR="006C4B44" w:rsidRPr="007D792C">
        <w:rPr>
          <w:rFonts w:eastAsiaTheme="majorEastAsia"/>
          <w:szCs w:val="24"/>
          <w:lang w:val="ru-RU"/>
        </w:rPr>
        <w:t>:</w:t>
      </w:r>
    </w:p>
    <w:p w14:paraId="594BD646" w14:textId="2C946B13" w:rsidR="000C12E6" w:rsidRPr="007D792C" w:rsidRDefault="0013506C" w:rsidP="00A06AC3">
      <w:pPr>
        <w:pStyle w:val="Listparagraf"/>
        <w:numPr>
          <w:ilvl w:val="0"/>
          <w:numId w:val="23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Д</w:t>
      </w:r>
      <w:r w:rsidR="008C1028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а</w:t>
      </w: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ва</w:t>
      </w:r>
      <w:r w:rsidR="008C1028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ть пользователям возможность выявлять и бороться с разжиганием ненависти и дезинформацией в Интернете</w:t>
      </w:r>
      <w:r w:rsidR="000C12E6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6F785A51" w14:textId="660253A6" w:rsidR="0081765F" w:rsidRPr="007D792C" w:rsidRDefault="007B3C98" w:rsidP="00A06AC3">
      <w:pPr>
        <w:pStyle w:val="Listparagraf"/>
        <w:numPr>
          <w:ilvl w:val="0"/>
          <w:numId w:val="23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Быть применимыми и устойчивыми после завершения проекта</w:t>
      </w:r>
      <w:r w:rsidR="0081765F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4AF15EB2" w14:textId="6A4FA7F5" w:rsidR="0036535F" w:rsidRPr="007D792C" w:rsidRDefault="007B3C98" w:rsidP="00A06AC3">
      <w:pPr>
        <w:pStyle w:val="Listparagraf"/>
        <w:numPr>
          <w:ilvl w:val="0"/>
          <w:numId w:val="23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Содержать план действий, который должен быть реализован в ходе реализации проекта</w:t>
      </w:r>
      <w:r w:rsidR="0036535F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5A2C6B1D" w14:textId="38194B7E" w:rsidR="0020525B" w:rsidRPr="007D792C" w:rsidRDefault="007B3C98" w:rsidP="00A06AC3">
      <w:pPr>
        <w:pStyle w:val="Listparagraf"/>
        <w:numPr>
          <w:ilvl w:val="0"/>
          <w:numId w:val="23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Быть заполненным в соответствии с требованиями, изложенными в Главе VIII "Процедура подачи заявки".</w:t>
      </w:r>
    </w:p>
    <w:p w14:paraId="54C5C23B" w14:textId="403731FF" w:rsidR="005078E7" w:rsidRPr="007D792C" w:rsidRDefault="00285838" w:rsidP="005078E7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8" w:name="_Toc171004979"/>
      <w:bookmarkStart w:id="9" w:name="_Toc173846501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lastRenderedPageBreak/>
        <w:t xml:space="preserve">требования </w:t>
      </w:r>
      <w:r w:rsidR="009813A6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к заявителям</w:t>
      </w:r>
      <w:bookmarkEnd w:id="8"/>
      <w:bookmarkEnd w:id="9"/>
    </w:p>
    <w:p w14:paraId="6C003D9B" w14:textId="7904C72E" w:rsidR="004547CB" w:rsidRPr="007D792C" w:rsidRDefault="009439BC" w:rsidP="00A06AC3">
      <w:pPr>
        <w:widowControl w:val="0"/>
        <w:spacing w:before="240" w:line="276" w:lineRule="auto"/>
        <w:jc w:val="both"/>
        <w:rPr>
          <w:rFonts w:eastAsia="Batang"/>
          <w:szCs w:val="24"/>
          <w:lang w:val="ru-RU"/>
        </w:rPr>
      </w:pPr>
      <w:r w:rsidRPr="007D792C">
        <w:rPr>
          <w:rFonts w:eastAsia="Batang"/>
          <w:szCs w:val="24"/>
          <w:lang w:val="ru-RU"/>
        </w:rPr>
        <w:t>К участию в конкурсе допускаются только кандидаты, отвечающие следующим критериям</w:t>
      </w:r>
      <w:r w:rsidR="004547CB" w:rsidRPr="007D792C">
        <w:rPr>
          <w:rFonts w:eastAsia="Batang"/>
          <w:szCs w:val="24"/>
          <w:lang w:val="ru-RU"/>
        </w:rPr>
        <w:t>:</w:t>
      </w:r>
    </w:p>
    <w:p w14:paraId="4F319BEA" w14:textId="057869B2" w:rsidR="00C66E70" w:rsidRPr="007D792C" w:rsidRDefault="009439BC" w:rsidP="00A06AC3">
      <w:pPr>
        <w:pStyle w:val="Listparagraf"/>
        <w:widowControl w:val="0"/>
        <w:numPr>
          <w:ilvl w:val="0"/>
          <w:numId w:val="20"/>
        </w:numPr>
        <w:spacing w:before="240" w:after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Заявитель должен быть юридическим лицом, зарегистрированным в соответствии с национальным законодательством Республики Молдова</w:t>
      </w:r>
      <w:r w:rsidR="00FC5CE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2750FEE6" w14:textId="54E115FE" w:rsidR="00E35B5B" w:rsidRPr="007D792C" w:rsidRDefault="006C1D84" w:rsidP="00A06AC3">
      <w:pPr>
        <w:pStyle w:val="Listparagraf"/>
        <w:widowControl w:val="0"/>
        <w:numPr>
          <w:ilvl w:val="0"/>
          <w:numId w:val="20"/>
        </w:numPr>
        <w:spacing w:before="240" w:after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З</w:t>
      </w:r>
      <w:r w:rsidR="009439BC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аявитель должен быть неправительственной организацией</w:t>
      </w:r>
      <w:r w:rsidR="00E35B5B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360FA218" w14:textId="3F91BBFF" w:rsidR="00893143" w:rsidRPr="007D792C" w:rsidRDefault="006C1D84" w:rsidP="00CF6A9F">
      <w:pPr>
        <w:pStyle w:val="Listparagraf"/>
        <w:widowControl w:val="0"/>
        <w:numPr>
          <w:ilvl w:val="0"/>
          <w:numId w:val="20"/>
        </w:numPr>
        <w:spacing w:before="240" w:after="240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A) Заявитель имеет не менее 3 лет опыта работы в одной из следующих областей: СМИ, информирование общественности о правах человека, противодействие дезинформации и языку ненависти, кибербезопасность и информационные технологии</w:t>
      </w:r>
      <w:r w:rsidR="00FD5168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  <w:r w:rsidR="00462A6F" w:rsidRPr="007D792C">
        <w:rPr>
          <w:rFonts w:eastAsia="Batang"/>
          <w:szCs w:val="24"/>
          <w:lang w:val="ru-RU"/>
        </w:rPr>
        <w:br/>
      </w:r>
      <w:r w:rsidR="00293FD3" w:rsidRPr="007D792C">
        <w:rPr>
          <w:rFonts w:ascii="Times New Roman" w:eastAsia="Batang" w:hAnsi="Times New Roman" w:cs="Times New Roman"/>
          <w:b/>
          <w:snapToGrid w:val="0"/>
          <w:sz w:val="24"/>
          <w:szCs w:val="24"/>
          <w:lang w:val="ru-RU"/>
        </w:rPr>
        <w:t>ИЛИ</w:t>
      </w:r>
      <w:r w:rsidR="00462A6F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br/>
      </w:r>
      <w:r w:rsidR="002D1184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 xml:space="preserve">B) </w:t>
      </w:r>
      <w:r w:rsidR="00293FD3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 xml:space="preserve">Заявитель имеет в своем </w:t>
      </w:r>
      <w:r w:rsidR="009E30ED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>портф</w:t>
      </w:r>
      <w:r w:rsidR="009E30ED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>олио</w:t>
      </w:r>
      <w:r w:rsidR="009E30ED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 xml:space="preserve"> </w:t>
      </w:r>
      <w:r w:rsidR="00293FD3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>цифровые решения, разработанные самостоятельно или с привлечением третьих лиц</w:t>
      </w:r>
      <w:r w:rsidR="00FB3A16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>.</w:t>
      </w:r>
      <w:r w:rsidR="00462A6F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br/>
      </w:r>
      <w:r w:rsidR="00293FD3" w:rsidRPr="007D792C">
        <w:rPr>
          <w:rFonts w:ascii="Times New Roman" w:eastAsia="Batang" w:hAnsi="Times New Roman" w:cs="Times New Roman"/>
          <w:b/>
          <w:snapToGrid w:val="0"/>
          <w:sz w:val="24"/>
          <w:szCs w:val="24"/>
          <w:lang w:val="ru-RU"/>
        </w:rPr>
        <w:t>ИЛИ</w:t>
      </w:r>
      <w:r w:rsidR="00462A6F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br/>
      </w:r>
      <w:r w:rsidR="002D1184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 xml:space="preserve">C) </w:t>
      </w:r>
      <w:r w:rsidR="00293FD3" w:rsidRPr="007D792C">
        <w:rPr>
          <w:rFonts w:ascii="Times New Roman" w:eastAsia="Batang" w:hAnsi="Times New Roman" w:cs="Times New Roman"/>
          <w:snapToGrid w:val="0"/>
          <w:sz w:val="24"/>
          <w:szCs w:val="24"/>
          <w:lang w:val="ru-RU"/>
        </w:rPr>
        <w:t>Заявитель обладает институциональным потенциалом для разработки цифровых решений или имеет возможность привлечь третью сторону</w:t>
      </w:r>
      <w:r w:rsidR="004D4DE6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  <w:r w:rsidR="002B31F5">
        <w:rPr>
          <w:rFonts w:ascii="Times New Roman" w:eastAsia="Batang" w:hAnsi="Times New Roman" w:cs="Times New Roman"/>
          <w:sz w:val="24"/>
          <w:szCs w:val="24"/>
          <w:lang w:val="ru-RU"/>
        </w:rPr>
        <w:br/>
      </w:r>
    </w:p>
    <w:p w14:paraId="6CE2F095" w14:textId="3F2E09EA" w:rsidR="00893143" w:rsidRPr="007D792C" w:rsidRDefault="002E6FBC" w:rsidP="00A06AC3">
      <w:pPr>
        <w:pStyle w:val="Listparagraf"/>
        <w:widowControl w:val="0"/>
        <w:numPr>
          <w:ilvl w:val="0"/>
          <w:numId w:val="20"/>
        </w:numPr>
        <w:spacing w:before="240" w:after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>
        <w:rPr>
          <w:rFonts w:ascii="Times New Roman" w:eastAsia="Batang" w:hAnsi="Times New Roman" w:cs="Times New Roman"/>
          <w:sz w:val="24"/>
          <w:szCs w:val="24"/>
          <w:lang w:val="ru-RU"/>
        </w:rPr>
        <w:t>С</w:t>
      </w:r>
      <w:r w:rsidR="00783DAF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реди учредителей заявителя нет политически значимых лиц</w:t>
      </w:r>
      <w:r w:rsidR="00B9291D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6934A2FD" w14:textId="408B7254" w:rsidR="00FC5CE9" w:rsidRPr="007D792C" w:rsidRDefault="00BF777A" w:rsidP="00A06AC3">
      <w:pPr>
        <w:pStyle w:val="Listparagraf"/>
        <w:widowControl w:val="0"/>
        <w:numPr>
          <w:ilvl w:val="0"/>
          <w:numId w:val="20"/>
        </w:numPr>
        <w:spacing w:before="240" w:after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Заявитель не был признан ответственным за серьезные финансовые или профессиональные нарушения, подтвержденные доказательствами, признанными ПРООН Молдова</w:t>
      </w:r>
      <w:r w:rsidR="00FC5CE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07CE9947" w14:textId="2B310F81" w:rsidR="00BF40A4" w:rsidRPr="007D792C" w:rsidRDefault="00714563" w:rsidP="00A06AC3">
      <w:pPr>
        <w:pStyle w:val="Listparagraf"/>
        <w:widowControl w:val="0"/>
        <w:numPr>
          <w:ilvl w:val="0"/>
          <w:numId w:val="20"/>
        </w:numPr>
        <w:spacing w:before="240" w:after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Заявитель в прошлом выполнял свои контрактные обязательства, вытекающие из предыдущих соглашений с донорскими организациями</w:t>
      </w:r>
      <w:r w:rsidR="00FC5CE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48A2F53" w14:textId="15A194FA" w:rsidR="004D4DE6" w:rsidRPr="007D792C" w:rsidRDefault="00C356BC" w:rsidP="004D4DE6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10" w:name="_Toc171004980"/>
      <w:bookmarkStart w:id="11" w:name="_Toc173846502"/>
      <w:r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ТРЕ</w:t>
      </w:r>
      <w:r w:rsidR="00714563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юджет</w:t>
      </w:r>
      <w:bookmarkEnd w:id="10"/>
      <w:bookmarkEnd w:id="11"/>
      <w:r w:rsidR="00714563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7C2798AE" w14:textId="696FA2F2" w:rsidR="00915CDC" w:rsidRPr="007D792C" w:rsidRDefault="00714563" w:rsidP="008718B4">
      <w:pPr>
        <w:pStyle w:val="NormalWeb"/>
        <w:numPr>
          <w:ilvl w:val="0"/>
          <w:numId w:val="24"/>
        </w:numPr>
        <w:spacing w:before="24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заявка должна включать бюджет, выраженный в </w:t>
      </w:r>
      <w:r w:rsidR="00C23D90" w:rsidRPr="007D7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доллар</w:t>
      </w:r>
      <w:r w:rsidR="00C23D90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ах</w:t>
      </w:r>
      <w:r w:rsidR="00C23D90" w:rsidRPr="007D7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США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>, с подробной информацией по каждой статье расходов, в соответствии с Приложени</w:t>
      </w:r>
      <w:r w:rsidR="00E45020" w:rsidRPr="007D792C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 3.</w:t>
      </w:r>
    </w:p>
    <w:p w14:paraId="73FAF1FF" w14:textId="7950940B" w:rsidR="00591771" w:rsidRPr="007D792C" w:rsidRDefault="0009320C" w:rsidP="008718B4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Смета расходов охватывает весь период реализации проекта, составляющий </w:t>
      </w:r>
      <w:r w:rsidR="00C875FA" w:rsidRPr="007D792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4C83" w:rsidRPr="007D792C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7B5449"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22AA23" w14:textId="45436FB4" w:rsidR="00591771" w:rsidRPr="007D792C" w:rsidRDefault="0009320C" w:rsidP="008718B4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Смета расходов </w:t>
      </w:r>
      <w:r w:rsidR="008C3CE1">
        <w:rPr>
          <w:rFonts w:ascii="Times New Roman" w:hAnsi="Times New Roman" w:cs="Times New Roman"/>
          <w:sz w:val="24"/>
          <w:szCs w:val="24"/>
          <w:lang w:val="ru-RU"/>
        </w:rPr>
        <w:t>должна быть</w:t>
      </w:r>
      <w:r w:rsidR="008C3CE1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>реалистичной и соответствовать плану действий, описанному в проектном предложении</w:t>
      </w:r>
      <w:r w:rsidR="00192E19" w:rsidRPr="007D792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49DFF5" w14:textId="1C686ADB" w:rsidR="00C0193E" w:rsidRPr="007D792C" w:rsidRDefault="000473DC" w:rsidP="008718B4">
      <w:pPr>
        <w:pStyle w:val="Listparagraf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Максимальный лимит бюджета </w:t>
      </w:r>
      <w:r w:rsidR="009C6E70">
        <w:rPr>
          <w:rFonts w:ascii="Times New Roman" w:eastAsia="Batang" w:hAnsi="Times New Roman" w:cs="Times New Roman"/>
          <w:sz w:val="24"/>
          <w:szCs w:val="24"/>
          <w:lang w:val="ru-RU" w:eastAsia="ko-KR"/>
        </w:rPr>
        <w:t>3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5,000</w:t>
      </w:r>
      <w:r w:rsidR="009C6E70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9C6E70" w:rsidRPr="007D7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долларов США</w:t>
      </w:r>
      <w:r w:rsidR="00C0193E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59104EA4" w14:textId="60485A23" w:rsidR="00C0193E" w:rsidRDefault="000473DC" w:rsidP="008718B4">
      <w:pPr>
        <w:pStyle w:val="Listparagraf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Бюджет должен быть </w:t>
      </w:r>
      <w:r w:rsidR="00EA13EA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аргументирован</w:t>
      </w:r>
      <w:r w:rsidR="00EA13EA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 оптимизирован с точки зрения экономической эффективности</w:t>
      </w:r>
      <w:r w:rsidR="0027160C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64D843C9" w14:textId="5D2E9234" w:rsidR="00D87D82" w:rsidRPr="00D87D82" w:rsidRDefault="00D87D82" w:rsidP="00D87D82">
      <w:pPr>
        <w:pStyle w:val="Listparagraf"/>
        <w:numPr>
          <w:ilvl w:val="0"/>
          <w:numId w:val="24"/>
        </w:numPr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D87D82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Все приобретенные товары и услуги будут включены в стоимость без учета НДС.</w:t>
      </w:r>
    </w:p>
    <w:p w14:paraId="22BDC4EB" w14:textId="21226394" w:rsidR="00714CC0" w:rsidRPr="007D792C" w:rsidRDefault="000473DC" w:rsidP="008718B4">
      <w:pPr>
        <w:pStyle w:val="Listparagraf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Сметные расходы должны учитывать степень участия персонала, а также степень охвата других программ и/или проектов, если таковые имеются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. </w:t>
      </w:r>
    </w:p>
    <w:p w14:paraId="50C72B42" w14:textId="6258C21D" w:rsidR="00AA2C00" w:rsidRPr="007D792C" w:rsidRDefault="00A737FB" w:rsidP="00A06AC3">
      <w:pPr>
        <w:widowControl w:val="0"/>
        <w:spacing w:before="240" w:line="276" w:lineRule="auto"/>
        <w:jc w:val="both"/>
        <w:rPr>
          <w:rFonts w:eastAsia="Batang"/>
          <w:b/>
          <w:szCs w:val="24"/>
          <w:lang w:val="ru-RU"/>
        </w:rPr>
      </w:pPr>
      <w:r w:rsidRPr="007D792C">
        <w:rPr>
          <w:rFonts w:eastAsia="Batang"/>
          <w:b/>
          <w:szCs w:val="24"/>
          <w:lang w:val="ru-RU"/>
        </w:rPr>
        <w:t>К приемлемым расходам относятся</w:t>
      </w:r>
      <w:r w:rsidR="003C15B5" w:rsidRPr="007D792C">
        <w:rPr>
          <w:rFonts w:eastAsia="Batang"/>
          <w:b/>
          <w:szCs w:val="24"/>
          <w:lang w:val="ru-RU"/>
        </w:rPr>
        <w:t>:</w:t>
      </w:r>
    </w:p>
    <w:p w14:paraId="692506B6" w14:textId="5BB18869" w:rsidR="00946286" w:rsidRPr="007D792C" w:rsidRDefault="00D32EC0" w:rsidP="00A06AC3">
      <w:pPr>
        <w:pStyle w:val="Listparagraf"/>
        <w:widowControl w:val="0"/>
        <w:numPr>
          <w:ilvl w:val="0"/>
          <w:numId w:val="25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Административные расходы по проекту (административный персонал: менеджер проекта, бухгалтер, ассистент проекта, телекоммуникационные услуги, аренда и коммунальные услуги, банковские расходы и </w:t>
      </w:r>
      <w:r w:rsidR="00164C83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т. д.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).</w:t>
      </w:r>
    </w:p>
    <w:p w14:paraId="03D37120" w14:textId="4918402C" w:rsidR="00977141" w:rsidRPr="007D792C" w:rsidRDefault="009546BE" w:rsidP="00A06AC3">
      <w:pPr>
        <w:pStyle w:val="Listparagraf"/>
        <w:widowControl w:val="0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Расходы на поставщиков услуг и товаров, необходим</w:t>
      </w:r>
      <w:r w:rsidR="00A95AE8">
        <w:rPr>
          <w:rFonts w:ascii="Times New Roman" w:eastAsia="Batang" w:hAnsi="Times New Roman" w:cs="Times New Roman"/>
          <w:sz w:val="24"/>
          <w:szCs w:val="24"/>
          <w:lang w:val="ru-RU"/>
        </w:rPr>
        <w:t>ых для реализации проекта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(ИТ-разработчики, ИТ-эксперты и </w:t>
      </w:r>
      <w:r w:rsidR="00164C83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т. д.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)</w:t>
      </w:r>
    </w:p>
    <w:p w14:paraId="5A84F63C" w14:textId="2480A37B" w:rsidR="00946286" w:rsidRPr="007D792C" w:rsidRDefault="009546BE" w:rsidP="00A06AC3">
      <w:pPr>
        <w:pStyle w:val="Listparagraf"/>
        <w:widowControl w:val="0"/>
        <w:numPr>
          <w:ilvl w:val="0"/>
          <w:numId w:val="25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Расходы на приобретение программных продуктов (лицензий), подписок и приложений, необходимых для развития цифровых решений и их устойчивости</w:t>
      </w:r>
      <w:r w:rsidR="00946286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53DD3AA2" w14:textId="5BC813BD" w:rsidR="0020715B" w:rsidRPr="007D792C" w:rsidRDefault="009546BE" w:rsidP="00A06AC3">
      <w:pPr>
        <w:pStyle w:val="Listparagraf"/>
        <w:widowControl w:val="0"/>
        <w:numPr>
          <w:ilvl w:val="0"/>
          <w:numId w:val="25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Расходы на приобретение расходных материалов и других материалов, необходимых для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lastRenderedPageBreak/>
        <w:t>реализации проекта</w:t>
      </w:r>
      <w:r w:rsidR="00946286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6B841202" w14:textId="4262B485" w:rsidR="00735BDA" w:rsidRPr="007D792C" w:rsidRDefault="00274241" w:rsidP="00A06AC3">
      <w:pPr>
        <w:pStyle w:val="Listparagraf"/>
        <w:widowControl w:val="0"/>
        <w:numPr>
          <w:ilvl w:val="0"/>
          <w:numId w:val="25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Другие расходы, необходимые для эффективной реализации проекта, </w:t>
      </w:r>
      <w:r w:rsidR="005D1640">
        <w:rPr>
          <w:rFonts w:ascii="Times New Roman" w:eastAsia="Batang" w:hAnsi="Times New Roman" w:cs="Times New Roman"/>
          <w:sz w:val="24"/>
          <w:szCs w:val="24"/>
          <w:lang w:val="ru-RU"/>
        </w:rPr>
        <w:t>детально</w:t>
      </w:r>
      <w:r w:rsidR="005D164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обоснованные</w:t>
      </w:r>
      <w:r w:rsidR="00977141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44B3BC68" w14:textId="117F7946" w:rsidR="00977141" w:rsidRPr="007D792C" w:rsidRDefault="000E10EC" w:rsidP="00A06AC3">
      <w:pPr>
        <w:widowControl w:val="0"/>
        <w:spacing w:before="240" w:line="276" w:lineRule="auto"/>
        <w:jc w:val="both"/>
        <w:rPr>
          <w:rFonts w:eastAsia="Batang"/>
          <w:b/>
          <w:szCs w:val="24"/>
          <w:lang w:val="ru-RU"/>
        </w:rPr>
      </w:pPr>
      <w:r w:rsidRPr="007D792C">
        <w:rPr>
          <w:rFonts w:eastAsia="Batang"/>
          <w:b/>
          <w:szCs w:val="24"/>
          <w:lang w:val="ru-RU"/>
        </w:rPr>
        <w:t>Неприемлемые расходы</w:t>
      </w:r>
      <w:r w:rsidR="003C15B5" w:rsidRPr="007D792C">
        <w:rPr>
          <w:rFonts w:eastAsia="Batang"/>
          <w:b/>
          <w:szCs w:val="24"/>
          <w:lang w:val="ru-RU"/>
        </w:rPr>
        <w:t>:</w:t>
      </w:r>
    </w:p>
    <w:p w14:paraId="3E4FA7FD" w14:textId="5FB438AB" w:rsidR="00E276EF" w:rsidRPr="007D792C" w:rsidRDefault="00626C2E" w:rsidP="00A06AC3">
      <w:pPr>
        <w:pStyle w:val="Listparagraf"/>
        <w:widowControl w:val="0"/>
        <w:numPr>
          <w:ilvl w:val="0"/>
          <w:numId w:val="8"/>
        </w:numPr>
        <w:spacing w:before="240"/>
        <w:ind w:left="32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Расходы, понесенные до подписания грантового соглашения (включая расходы, связанные с подачей </w:t>
      </w:r>
      <w:r w:rsidR="009825E9">
        <w:rPr>
          <w:rFonts w:ascii="Times New Roman" w:eastAsia="Batang" w:hAnsi="Times New Roman" w:cs="Times New Roman"/>
          <w:sz w:val="24"/>
          <w:szCs w:val="24"/>
          <w:lang w:val="ru-RU"/>
        </w:rPr>
        <w:t>заявки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)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6E7F6012" w14:textId="1FEED69C" w:rsidR="00714CC0" w:rsidRPr="007D792C" w:rsidRDefault="004834E1" w:rsidP="00A06AC3">
      <w:pPr>
        <w:pStyle w:val="Listparagraf"/>
        <w:widowControl w:val="0"/>
        <w:numPr>
          <w:ilvl w:val="0"/>
          <w:numId w:val="8"/>
        </w:numPr>
        <w:ind w:left="32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Штрафы, пени и убытки от разницы</w:t>
      </w:r>
      <w:r w:rsidR="00135794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="00CE2880">
        <w:rPr>
          <w:rFonts w:ascii="Times New Roman" w:eastAsia="Batang" w:hAnsi="Times New Roman" w:cs="Times New Roman"/>
          <w:sz w:val="24"/>
          <w:szCs w:val="24"/>
          <w:lang w:val="ru-RU"/>
        </w:rPr>
        <w:t>обменного курса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0F2E4BA8" w14:textId="5853ACC6" w:rsidR="00714CC0" w:rsidRPr="007D792C" w:rsidRDefault="0097260C" w:rsidP="00A06AC3">
      <w:pPr>
        <w:pStyle w:val="Listparagraf"/>
        <w:widowControl w:val="0"/>
        <w:numPr>
          <w:ilvl w:val="0"/>
          <w:numId w:val="8"/>
        </w:numPr>
        <w:ind w:left="32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Деятельность, которая финансируется </w:t>
      </w:r>
      <w:r w:rsidR="00CE2880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в размере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100% в рамках другой грантовой программы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0EC7652" w14:textId="22CFA916" w:rsidR="00E276EF" w:rsidRPr="007D792C" w:rsidRDefault="00314D1D" w:rsidP="00A06AC3">
      <w:pPr>
        <w:pStyle w:val="Listparagraf"/>
        <w:widowControl w:val="0"/>
        <w:numPr>
          <w:ilvl w:val="0"/>
          <w:numId w:val="8"/>
        </w:numPr>
        <w:spacing w:before="240"/>
        <w:ind w:left="32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Индивидуальная спонсорская помощь для участия в мастер-классах, семинарах и конференциях</w:t>
      </w:r>
      <w:r w:rsidR="003F2144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, </w:t>
      </w:r>
      <w:r w:rsidR="005F3DD3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индивидуальные стипендии</w:t>
      </w:r>
      <w:r w:rsidR="007B544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0430896" w14:textId="62F1AA3E" w:rsidR="00977141" w:rsidRPr="007D792C" w:rsidRDefault="00480DE7" w:rsidP="00A06AC3">
      <w:pPr>
        <w:pStyle w:val="Listparagraf"/>
        <w:widowControl w:val="0"/>
        <w:numPr>
          <w:ilvl w:val="0"/>
          <w:numId w:val="8"/>
        </w:numPr>
        <w:spacing w:before="240"/>
        <w:ind w:left="32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Покрытие текущих расходов организации, за исключением случаев, когда они </w:t>
      </w:r>
      <w:r w:rsidR="0034142A">
        <w:rPr>
          <w:rFonts w:ascii="Times New Roman" w:eastAsia="Batang" w:hAnsi="Times New Roman" w:cs="Times New Roman"/>
          <w:sz w:val="24"/>
          <w:szCs w:val="24"/>
          <w:lang w:val="ru-RU"/>
        </w:rPr>
        <w:t>напрямую</w:t>
      </w:r>
      <w:r w:rsidR="0034142A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связаны с </w:t>
      </w:r>
      <w:r w:rsidR="007928F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реализаци</w:t>
      </w:r>
      <w:r w:rsidR="007928F9">
        <w:rPr>
          <w:rFonts w:ascii="Times New Roman" w:eastAsia="Batang" w:hAnsi="Times New Roman" w:cs="Times New Roman"/>
          <w:sz w:val="24"/>
          <w:szCs w:val="24"/>
          <w:lang w:val="ru-RU"/>
        </w:rPr>
        <w:t>ей</w:t>
      </w:r>
      <w:r w:rsidR="007928F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проекта</w:t>
      </w:r>
      <w:r w:rsidR="0063247F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02373329" w14:textId="4125CCB9" w:rsidR="00714CC0" w:rsidRPr="007D792C" w:rsidRDefault="00017171" w:rsidP="00A06AC3">
      <w:pPr>
        <w:pStyle w:val="Listparagraf"/>
        <w:widowControl w:val="0"/>
        <w:numPr>
          <w:ilvl w:val="0"/>
          <w:numId w:val="8"/>
        </w:numPr>
        <w:spacing w:before="240"/>
        <w:ind w:left="322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Расходы на приобретение или производство алкогольных напитков, табачных изделий, боеприпасов, предметов роскоши и других товаров, запрещенных правилами ООН, в том числе связанных с организацией азартных игр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BDDD268" w14:textId="137A68F9" w:rsidR="00714CC0" w:rsidRPr="007D792C" w:rsidRDefault="00062FAA" w:rsidP="00714CC0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12" w:name="_Toc171004981"/>
      <w:bookmarkStart w:id="13" w:name="_Toc173846503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критерии оценки </w:t>
      </w:r>
      <w:r w:rsidR="001F748D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проектных </w:t>
      </w:r>
      <w:r w:rsidR="00BE5528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предложений</w:t>
      </w:r>
      <w:bookmarkEnd w:id="12"/>
      <w:bookmarkEnd w:id="13"/>
    </w:p>
    <w:p w14:paraId="0E4B26EF" w14:textId="2D7BDB6A" w:rsidR="003C15B5" w:rsidRPr="007D792C" w:rsidRDefault="00BE5528" w:rsidP="008718B4">
      <w:pPr>
        <w:spacing w:before="240" w:line="276" w:lineRule="auto"/>
        <w:jc w:val="both"/>
        <w:rPr>
          <w:rFonts w:eastAsia="Arial"/>
          <w:lang w:val="ru-RU"/>
        </w:rPr>
      </w:pPr>
      <w:r w:rsidRPr="007D792C">
        <w:rPr>
          <w:rFonts w:eastAsia="Arial"/>
          <w:lang w:val="ru-RU"/>
        </w:rPr>
        <w:t>Проектные предложения будут отобраны на основе оценки в соответствии с критериями оценки, изложенными ниже. Заявители, набравшие наибольшее количество баллов, будут объявлены победителями</w:t>
      </w:r>
      <w:r w:rsidR="00F169EF" w:rsidRPr="007D792C">
        <w:rPr>
          <w:rFonts w:eastAsia="Arial"/>
          <w:lang w:val="ru-RU"/>
        </w:rPr>
        <w:t>.</w:t>
      </w:r>
    </w:p>
    <w:p w14:paraId="4C27AD1F" w14:textId="05A5574E" w:rsidR="00C23770" w:rsidRPr="007D792C" w:rsidRDefault="007B3D0E" w:rsidP="008718B4">
      <w:pPr>
        <w:spacing w:before="240" w:line="276" w:lineRule="auto"/>
        <w:jc w:val="both"/>
        <w:rPr>
          <w:rFonts w:eastAsia="Arial"/>
          <w:lang w:val="ru-RU"/>
        </w:rPr>
      </w:pPr>
      <w:r w:rsidRPr="007D792C">
        <w:rPr>
          <w:rFonts w:eastAsia="Arial"/>
          <w:lang w:val="ru-RU"/>
        </w:rPr>
        <w:t>Каждый подкритерий будет оцениваться в баллах от 1 до 10, где 10 - максимальный балл. Каждому критерию присваивается вес по отношению к общему баллу оценки. Каждому подкритерию присваивается вес в зависимости от оценки критерия, частью которого он является.</w:t>
      </w:r>
      <w:r w:rsidR="00C23770" w:rsidRPr="007D792C">
        <w:rPr>
          <w:rFonts w:eastAsia="Arial"/>
          <w:lang w:val="ru-RU"/>
        </w:rPr>
        <w:t xml:space="preserve"> </w:t>
      </w:r>
    </w:p>
    <w:p w14:paraId="5757CC95" w14:textId="11150793" w:rsidR="00C23770" w:rsidRPr="007D792C" w:rsidRDefault="00C0643B" w:rsidP="00A06AC3">
      <w:pPr>
        <w:spacing w:before="240" w:line="276" w:lineRule="auto"/>
        <w:rPr>
          <w:rFonts w:eastAsia="Arial"/>
          <w:lang w:val="ru-RU"/>
        </w:rPr>
      </w:pPr>
      <w:r w:rsidRPr="007D792C">
        <w:rPr>
          <w:rFonts w:eastAsia="Arial"/>
          <w:lang w:val="ru-RU"/>
        </w:rPr>
        <w:t>Итоговая оценка проектного предложения представляет собой сумму баллов, присвоенных критериям, с учетом веса каждого критерия в итоговой оценке</w:t>
      </w:r>
      <w:r w:rsidR="00C23770" w:rsidRPr="007D792C">
        <w:rPr>
          <w:rFonts w:eastAsia="Arial"/>
          <w:lang w:val="ru-RU"/>
        </w:rPr>
        <w:t xml:space="preserve">. </w:t>
      </w:r>
    </w:p>
    <w:tbl>
      <w:tblPr>
        <w:tblStyle w:val="Tabelgril"/>
        <w:tblW w:w="5000" w:type="pct"/>
        <w:jc w:val="center"/>
        <w:tblLook w:val="04A0" w:firstRow="1" w:lastRow="0" w:firstColumn="1" w:lastColumn="0" w:noHBand="0" w:noVBand="1"/>
      </w:tblPr>
      <w:tblGrid>
        <w:gridCol w:w="3398"/>
        <w:gridCol w:w="5479"/>
        <w:gridCol w:w="999"/>
      </w:tblGrid>
      <w:tr w:rsidR="0043464B" w:rsidRPr="007D792C" w14:paraId="16F44CBD" w14:textId="77777777" w:rsidTr="004568B5">
        <w:trPr>
          <w:trHeight w:val="403"/>
          <w:jc w:val="center"/>
        </w:trPr>
        <w:tc>
          <w:tcPr>
            <w:tcW w:w="1720" w:type="pct"/>
            <w:shd w:val="clear" w:color="auto" w:fill="E7E6E6" w:themeFill="background2"/>
            <w:vAlign w:val="center"/>
          </w:tcPr>
          <w:p w14:paraId="6C9AF743" w14:textId="5DEAFCB8" w:rsidR="0043464B" w:rsidRPr="007D792C" w:rsidRDefault="00C0643B" w:rsidP="003C15B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Критерии оценки проектных предложений</w:t>
            </w:r>
            <w:r w:rsidR="0043464B" w:rsidRPr="007D792C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2774" w:type="pct"/>
            <w:shd w:val="clear" w:color="auto" w:fill="E7E6E6" w:themeFill="background2"/>
            <w:vAlign w:val="center"/>
          </w:tcPr>
          <w:p w14:paraId="2FBB29FE" w14:textId="3CDAB6EE" w:rsidR="0043464B" w:rsidRPr="007D792C" w:rsidRDefault="008F7745" w:rsidP="00E359F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Описание критерия</w:t>
            </w:r>
          </w:p>
        </w:tc>
        <w:tc>
          <w:tcPr>
            <w:tcW w:w="506" w:type="pct"/>
            <w:shd w:val="clear" w:color="auto" w:fill="E7E6E6" w:themeFill="background2"/>
            <w:vAlign w:val="center"/>
          </w:tcPr>
          <w:p w14:paraId="54E9587B" w14:textId="7DF93BFF" w:rsidR="0043464B" w:rsidRPr="007D792C" w:rsidRDefault="00C0643B" w:rsidP="003C15B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rFonts w:eastAsia="Arial"/>
                <w:b/>
                <w:bCs/>
                <w:lang w:val="ru-RU"/>
              </w:rPr>
              <w:t>В</w:t>
            </w:r>
            <w:r w:rsidR="007B3D0E" w:rsidRPr="007D792C">
              <w:rPr>
                <w:rFonts w:eastAsia="Arial"/>
                <w:b/>
                <w:bCs/>
                <w:lang w:val="ru-RU"/>
              </w:rPr>
              <w:t>ес</w:t>
            </w:r>
          </w:p>
        </w:tc>
      </w:tr>
      <w:tr w:rsidR="0043464B" w:rsidRPr="007D792C" w14:paraId="3FDC073E" w14:textId="77777777" w:rsidTr="00E90CBA">
        <w:trPr>
          <w:trHeight w:val="70"/>
          <w:jc w:val="center"/>
        </w:trPr>
        <w:tc>
          <w:tcPr>
            <w:tcW w:w="4494" w:type="pct"/>
            <w:gridSpan w:val="2"/>
            <w:vAlign w:val="center"/>
          </w:tcPr>
          <w:p w14:paraId="58839FB8" w14:textId="7DC618C8" w:rsidR="0043464B" w:rsidRPr="007D792C" w:rsidRDefault="0043464B" w:rsidP="00BF75BE">
            <w:pPr>
              <w:ind w:left="306" w:hanging="306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084FFA" w:rsidRPr="007D792C">
              <w:rPr>
                <w:b/>
                <w:bCs/>
                <w:sz w:val="22"/>
                <w:szCs w:val="22"/>
                <w:lang w:val="ru-RU"/>
              </w:rPr>
              <w:t>Инновационность предлагаемого цифрового решения</w:t>
            </w:r>
          </w:p>
        </w:tc>
        <w:tc>
          <w:tcPr>
            <w:tcW w:w="506" w:type="pct"/>
            <w:vAlign w:val="center"/>
          </w:tcPr>
          <w:p w14:paraId="2B643F45" w14:textId="65CCA9C4" w:rsidR="0043464B" w:rsidRPr="007D792C" w:rsidRDefault="0043464B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20%</w:t>
            </w:r>
          </w:p>
        </w:tc>
      </w:tr>
      <w:tr w:rsidR="0043464B" w:rsidRPr="007D792C" w14:paraId="5CE86E4F" w14:textId="77777777" w:rsidTr="004568B5">
        <w:trPr>
          <w:trHeight w:val="183"/>
          <w:jc w:val="center"/>
        </w:trPr>
        <w:tc>
          <w:tcPr>
            <w:tcW w:w="1720" w:type="pct"/>
            <w:vAlign w:val="center"/>
          </w:tcPr>
          <w:p w14:paraId="3357CFF8" w14:textId="039D3206" w:rsidR="0043464B" w:rsidRPr="007D792C" w:rsidDel="002E4EA7" w:rsidRDefault="0043464B" w:rsidP="00F765CF">
            <w:pPr>
              <w:ind w:left="708" w:hanging="544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1.1.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084FFA" w:rsidRPr="007D792C">
              <w:rPr>
                <w:sz w:val="22"/>
                <w:szCs w:val="22"/>
                <w:lang w:val="ru-RU"/>
              </w:rPr>
              <w:t xml:space="preserve">Оригинальность и </w:t>
            </w:r>
            <w:r w:rsidR="00AB6C99">
              <w:rPr>
                <w:sz w:val="22"/>
                <w:szCs w:val="22"/>
                <w:lang w:val="ru-RU"/>
              </w:rPr>
              <w:t>уникальность</w:t>
            </w:r>
          </w:p>
        </w:tc>
        <w:tc>
          <w:tcPr>
            <w:tcW w:w="2774" w:type="pct"/>
            <w:vAlign w:val="center"/>
          </w:tcPr>
          <w:p w14:paraId="12D50DC8" w14:textId="52C89A49" w:rsidR="0043464B" w:rsidRPr="007D792C" w:rsidRDefault="004B74FA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степени инновационности и новизны предлагаемого решения</w:t>
            </w:r>
            <w:r w:rsidR="0043464B" w:rsidRPr="007D792C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6" w:type="pct"/>
            <w:vAlign w:val="center"/>
          </w:tcPr>
          <w:p w14:paraId="7E4FF7F5" w14:textId="4EB802FA" w:rsidR="0043464B" w:rsidRPr="007D792C" w:rsidRDefault="0043464B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40%</w:t>
            </w:r>
          </w:p>
        </w:tc>
      </w:tr>
      <w:tr w:rsidR="0043464B" w:rsidRPr="007D792C" w14:paraId="1FD4B9BF" w14:textId="77777777" w:rsidTr="004568B5">
        <w:trPr>
          <w:trHeight w:val="125"/>
          <w:jc w:val="center"/>
        </w:trPr>
        <w:tc>
          <w:tcPr>
            <w:tcW w:w="1720" w:type="pct"/>
            <w:vAlign w:val="center"/>
          </w:tcPr>
          <w:p w14:paraId="770EB2CE" w14:textId="180BE2DC" w:rsidR="0043464B" w:rsidRPr="007D792C" w:rsidRDefault="0043464B" w:rsidP="00F765CF">
            <w:pPr>
              <w:ind w:left="708" w:hanging="544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1.2.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084FFA" w:rsidRPr="007D792C">
              <w:rPr>
                <w:sz w:val="22"/>
                <w:szCs w:val="22"/>
                <w:lang w:val="ru-RU"/>
              </w:rPr>
              <w:t>Использование современных технологий</w:t>
            </w:r>
          </w:p>
        </w:tc>
        <w:tc>
          <w:tcPr>
            <w:tcW w:w="2774" w:type="pct"/>
            <w:vAlign w:val="center"/>
          </w:tcPr>
          <w:p w14:paraId="6DC7454C" w14:textId="28649BB6" w:rsidR="0043464B" w:rsidRPr="007D792C" w:rsidRDefault="00860A16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</w:t>
            </w:r>
            <w:r w:rsidR="008B5BAD" w:rsidRPr="007D792C">
              <w:rPr>
                <w:sz w:val="22"/>
                <w:szCs w:val="22"/>
                <w:lang w:val="ru-RU"/>
              </w:rPr>
              <w:t>использовани</w:t>
            </w:r>
            <w:r w:rsidR="008B5BAD">
              <w:rPr>
                <w:sz w:val="22"/>
                <w:szCs w:val="22"/>
                <w:lang w:val="ru-RU"/>
              </w:rPr>
              <w:t>я</w:t>
            </w:r>
            <w:r w:rsidR="008B5BAD" w:rsidRPr="007D792C">
              <w:rPr>
                <w:sz w:val="22"/>
                <w:szCs w:val="22"/>
                <w:lang w:val="ru-RU"/>
              </w:rPr>
              <w:t xml:space="preserve"> </w:t>
            </w:r>
            <w:r w:rsidR="002B341B" w:rsidRPr="007D792C">
              <w:rPr>
                <w:sz w:val="22"/>
                <w:szCs w:val="22"/>
                <w:lang w:val="ru-RU"/>
              </w:rPr>
              <w:t>новых и современных технологий в решении</w:t>
            </w:r>
          </w:p>
        </w:tc>
        <w:tc>
          <w:tcPr>
            <w:tcW w:w="506" w:type="pct"/>
            <w:vAlign w:val="center"/>
          </w:tcPr>
          <w:p w14:paraId="1FDDECDE" w14:textId="5575CEAE" w:rsidR="0043464B" w:rsidRPr="007D792C" w:rsidRDefault="0043464B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35%</w:t>
            </w:r>
          </w:p>
        </w:tc>
      </w:tr>
      <w:tr w:rsidR="0043464B" w:rsidRPr="007D792C" w14:paraId="598AB1B9" w14:textId="77777777" w:rsidTr="004568B5">
        <w:trPr>
          <w:trHeight w:val="70"/>
          <w:jc w:val="center"/>
        </w:trPr>
        <w:tc>
          <w:tcPr>
            <w:tcW w:w="1720" w:type="pct"/>
            <w:vAlign w:val="center"/>
          </w:tcPr>
          <w:p w14:paraId="58FC62F5" w14:textId="6D6C7EB1" w:rsidR="0043464B" w:rsidRPr="007D792C" w:rsidRDefault="00AE2830" w:rsidP="00AE2830">
            <w:pPr>
              <w:ind w:left="708" w:hanging="544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1.3.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4B74FA" w:rsidRPr="007D792C">
              <w:rPr>
                <w:sz w:val="22"/>
                <w:szCs w:val="22"/>
                <w:lang w:val="ru-RU"/>
              </w:rPr>
              <w:t>Предлагаемые улучшения</w:t>
            </w:r>
          </w:p>
        </w:tc>
        <w:tc>
          <w:tcPr>
            <w:tcW w:w="2774" w:type="pct"/>
            <w:vAlign w:val="center"/>
          </w:tcPr>
          <w:p w14:paraId="24771AF0" w14:textId="560AC4C3" w:rsidR="0043464B" w:rsidRPr="007D792C" w:rsidDel="00E36797" w:rsidRDefault="002B341B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улучшений по сравнению с существующими на рынке решениями</w:t>
            </w:r>
          </w:p>
        </w:tc>
        <w:tc>
          <w:tcPr>
            <w:tcW w:w="506" w:type="pct"/>
            <w:vAlign w:val="center"/>
          </w:tcPr>
          <w:p w14:paraId="2A67573E" w14:textId="1E91F692" w:rsidR="0043464B" w:rsidRPr="007D792C" w:rsidDel="00E36797" w:rsidRDefault="00AE2830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25%</w:t>
            </w:r>
          </w:p>
        </w:tc>
      </w:tr>
      <w:tr w:rsidR="00BF75BE" w:rsidRPr="007D792C" w14:paraId="36935580" w14:textId="77777777" w:rsidTr="00E90CBA">
        <w:trPr>
          <w:trHeight w:val="400"/>
          <w:jc w:val="center"/>
        </w:trPr>
        <w:tc>
          <w:tcPr>
            <w:tcW w:w="4494" w:type="pct"/>
            <w:gridSpan w:val="2"/>
            <w:vAlign w:val="center"/>
          </w:tcPr>
          <w:p w14:paraId="5067478C" w14:textId="0612BA6A" w:rsidR="00BF75BE" w:rsidRPr="007D792C" w:rsidRDefault="00BF75BE" w:rsidP="00BF75BE">
            <w:pPr>
              <w:ind w:left="306" w:hanging="306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2.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2B341B" w:rsidRPr="007D792C">
              <w:rPr>
                <w:b/>
                <w:bCs/>
                <w:sz w:val="22"/>
                <w:szCs w:val="22"/>
                <w:lang w:val="ru-RU"/>
              </w:rPr>
              <w:t>Масштабируемость цифрового решения</w:t>
            </w:r>
          </w:p>
        </w:tc>
        <w:tc>
          <w:tcPr>
            <w:tcW w:w="506" w:type="pct"/>
            <w:vAlign w:val="center"/>
          </w:tcPr>
          <w:p w14:paraId="0FC93F70" w14:textId="3C8F5615" w:rsidR="00BF75BE" w:rsidRPr="007D792C" w:rsidRDefault="00BF75BE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10%</w:t>
            </w:r>
          </w:p>
        </w:tc>
      </w:tr>
      <w:tr w:rsidR="0043464B" w:rsidRPr="007D792C" w14:paraId="0D225F64" w14:textId="77777777" w:rsidTr="004568B5">
        <w:trPr>
          <w:trHeight w:val="450"/>
          <w:jc w:val="center"/>
        </w:trPr>
        <w:tc>
          <w:tcPr>
            <w:tcW w:w="1720" w:type="pct"/>
            <w:vAlign w:val="center"/>
          </w:tcPr>
          <w:p w14:paraId="4D43D09D" w14:textId="43EBBE11" w:rsidR="0043464B" w:rsidRPr="007D792C" w:rsidRDefault="00BE624C" w:rsidP="00193177">
            <w:pPr>
              <w:ind w:left="731" w:hanging="567"/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2.1.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ab/>
            </w:r>
            <w:r w:rsidR="002B341B" w:rsidRPr="007D792C">
              <w:rPr>
                <w:bCs/>
                <w:iCs/>
                <w:sz w:val="22"/>
                <w:szCs w:val="22"/>
                <w:lang w:val="ru-RU"/>
              </w:rPr>
              <w:t xml:space="preserve">Потенциал для </w:t>
            </w:r>
            <w:r w:rsidR="002B341B" w:rsidRPr="007D792C">
              <w:rPr>
                <w:b/>
                <w:iCs/>
                <w:sz w:val="22"/>
                <w:szCs w:val="22"/>
                <w:lang w:val="ru-RU"/>
              </w:rPr>
              <w:t>расширения</w:t>
            </w:r>
            <w:r w:rsidR="002B341B" w:rsidRPr="007D792C">
              <w:rPr>
                <w:bCs/>
                <w:iCs/>
                <w:sz w:val="22"/>
                <w:szCs w:val="22"/>
                <w:lang w:val="ru-RU"/>
              </w:rPr>
              <w:t xml:space="preserve"> в различных контекстах</w:t>
            </w:r>
          </w:p>
        </w:tc>
        <w:tc>
          <w:tcPr>
            <w:tcW w:w="2774" w:type="pct"/>
            <w:vAlign w:val="center"/>
          </w:tcPr>
          <w:p w14:paraId="4ABEF55C" w14:textId="0C5346A4" w:rsidR="0043464B" w:rsidRPr="007D792C" w:rsidRDefault="008B5BAD" w:rsidP="00F765CF">
            <w:pPr>
              <w:rPr>
                <w:iCs/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>применимост</w:t>
            </w:r>
            <w:r>
              <w:rPr>
                <w:bCs/>
                <w:iCs/>
                <w:sz w:val="22"/>
                <w:szCs w:val="22"/>
                <w:lang w:val="ru-RU"/>
              </w:rPr>
              <w:t>и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1E1C3B" w:rsidRPr="007D792C">
              <w:rPr>
                <w:bCs/>
                <w:iCs/>
                <w:sz w:val="22"/>
                <w:szCs w:val="22"/>
                <w:lang w:val="ru-RU"/>
              </w:rPr>
              <w:t>решения в различных контекстах и регионах</w:t>
            </w:r>
            <w:r w:rsidR="00193177" w:rsidRPr="007D792C"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06" w:type="pct"/>
            <w:vAlign w:val="center"/>
          </w:tcPr>
          <w:p w14:paraId="47907D43" w14:textId="017E379C" w:rsidR="0043464B" w:rsidRPr="007D792C" w:rsidRDefault="00BE624C" w:rsidP="00E90CBA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7D792C">
              <w:rPr>
                <w:iCs/>
                <w:sz w:val="22"/>
                <w:szCs w:val="22"/>
                <w:lang w:val="ru-RU"/>
              </w:rPr>
              <w:t>50%</w:t>
            </w:r>
          </w:p>
        </w:tc>
      </w:tr>
      <w:tr w:rsidR="00193177" w:rsidRPr="007D792C" w14:paraId="383CB781" w14:textId="77777777" w:rsidTr="004568B5">
        <w:trPr>
          <w:trHeight w:val="450"/>
          <w:jc w:val="center"/>
        </w:trPr>
        <w:tc>
          <w:tcPr>
            <w:tcW w:w="1720" w:type="pct"/>
            <w:vAlign w:val="center"/>
          </w:tcPr>
          <w:p w14:paraId="0B2D31FB" w14:textId="495440F2" w:rsidR="00193177" w:rsidRPr="007D792C" w:rsidRDefault="00E20E96" w:rsidP="00193177">
            <w:pPr>
              <w:ind w:left="731" w:hanging="567"/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2.2.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ab/>
            </w:r>
            <w:r w:rsidR="001E1C3B" w:rsidRPr="007D792C">
              <w:rPr>
                <w:b/>
                <w:iCs/>
                <w:sz w:val="22"/>
                <w:szCs w:val="22"/>
                <w:lang w:val="ru-RU"/>
              </w:rPr>
              <w:t xml:space="preserve">Адаптация </w:t>
            </w:r>
            <w:r w:rsidR="001E1C3B" w:rsidRPr="007D792C">
              <w:rPr>
                <w:bCs/>
                <w:iCs/>
                <w:sz w:val="22"/>
                <w:szCs w:val="22"/>
                <w:lang w:val="ru-RU"/>
              </w:rPr>
              <w:t>к различным регионам и группам</w:t>
            </w:r>
          </w:p>
        </w:tc>
        <w:tc>
          <w:tcPr>
            <w:tcW w:w="2774" w:type="pct"/>
            <w:vAlign w:val="center"/>
          </w:tcPr>
          <w:p w14:paraId="5FE31AF6" w14:textId="71C9BC05" w:rsidR="00193177" w:rsidRPr="007D792C" w:rsidRDefault="008B5BAD" w:rsidP="00F765CF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</w:t>
            </w:r>
            <w:r w:rsidR="001E1C3B" w:rsidRPr="007D792C">
              <w:rPr>
                <w:bCs/>
                <w:iCs/>
                <w:sz w:val="22"/>
                <w:szCs w:val="22"/>
                <w:lang w:val="ru-RU"/>
              </w:rPr>
              <w:t>гибкость</w:t>
            </w:r>
            <w:r w:rsidR="00EA1764">
              <w:rPr>
                <w:bCs/>
                <w:iCs/>
                <w:sz w:val="22"/>
                <w:szCs w:val="22"/>
                <w:lang w:val="ru-RU"/>
              </w:rPr>
              <w:t>и</w:t>
            </w:r>
            <w:r w:rsidR="001E1C3B" w:rsidRPr="007D792C">
              <w:rPr>
                <w:bCs/>
                <w:iCs/>
                <w:sz w:val="22"/>
                <w:szCs w:val="22"/>
                <w:lang w:val="ru-RU"/>
              </w:rPr>
              <w:t xml:space="preserve"> решения для адаптации к потребностям различных групп бенефициаров</w:t>
            </w:r>
          </w:p>
        </w:tc>
        <w:tc>
          <w:tcPr>
            <w:tcW w:w="506" w:type="pct"/>
            <w:vAlign w:val="center"/>
          </w:tcPr>
          <w:p w14:paraId="268E32B9" w14:textId="0F227D70" w:rsidR="00193177" w:rsidRPr="007D792C" w:rsidRDefault="00E20E96" w:rsidP="00E90CBA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7D792C">
              <w:rPr>
                <w:iCs/>
                <w:sz w:val="22"/>
                <w:szCs w:val="22"/>
                <w:lang w:val="ru-RU"/>
              </w:rPr>
              <w:t>50%</w:t>
            </w:r>
          </w:p>
        </w:tc>
      </w:tr>
      <w:tr w:rsidR="00E90CBA" w:rsidRPr="007D792C" w14:paraId="2B0D6EB8" w14:textId="77777777" w:rsidTr="00E90CBA">
        <w:trPr>
          <w:trHeight w:val="450"/>
          <w:jc w:val="center"/>
        </w:trPr>
        <w:tc>
          <w:tcPr>
            <w:tcW w:w="4494" w:type="pct"/>
            <w:gridSpan w:val="2"/>
            <w:vAlign w:val="center"/>
          </w:tcPr>
          <w:p w14:paraId="094D379C" w14:textId="0786EF27" w:rsidR="00E90CBA" w:rsidRPr="007D792C" w:rsidRDefault="00E90CBA" w:rsidP="00E90CBA">
            <w:pPr>
              <w:ind w:left="306" w:hanging="306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3.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1E1C3B" w:rsidRPr="007D792C">
              <w:rPr>
                <w:b/>
                <w:bCs/>
                <w:sz w:val="22"/>
                <w:szCs w:val="22"/>
                <w:lang w:val="ru-RU"/>
              </w:rPr>
              <w:t>Устойчивость цифрового решения</w:t>
            </w:r>
          </w:p>
        </w:tc>
        <w:tc>
          <w:tcPr>
            <w:tcW w:w="506" w:type="pct"/>
            <w:vAlign w:val="center"/>
          </w:tcPr>
          <w:p w14:paraId="725B13A4" w14:textId="680ED973" w:rsidR="00E90CBA" w:rsidRPr="007D792C" w:rsidRDefault="00E90CBA" w:rsidP="00E90CBA">
            <w:pPr>
              <w:ind w:left="306" w:hanging="306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15%</w:t>
            </w:r>
          </w:p>
        </w:tc>
      </w:tr>
      <w:tr w:rsidR="00F4137D" w:rsidRPr="007D792C" w14:paraId="3198EEB3" w14:textId="77777777" w:rsidTr="004568B5">
        <w:trPr>
          <w:trHeight w:val="450"/>
          <w:jc w:val="center"/>
        </w:trPr>
        <w:tc>
          <w:tcPr>
            <w:tcW w:w="1720" w:type="pct"/>
          </w:tcPr>
          <w:p w14:paraId="57991724" w14:textId="32109938" w:rsidR="00A9774C" w:rsidRPr="007D792C" w:rsidRDefault="001E3476" w:rsidP="00A9774C">
            <w:pPr>
              <w:ind w:left="731" w:hanging="567"/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3.1.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ab/>
            </w:r>
            <w:r w:rsidR="001E1C3B" w:rsidRPr="007D792C">
              <w:rPr>
                <w:bCs/>
                <w:iCs/>
                <w:sz w:val="22"/>
                <w:szCs w:val="22"/>
                <w:lang w:val="ru-RU"/>
              </w:rPr>
              <w:t>Наличие подробного плана технического обслуживания и поддержки</w:t>
            </w:r>
          </w:p>
        </w:tc>
        <w:tc>
          <w:tcPr>
            <w:tcW w:w="2774" w:type="pct"/>
            <w:vAlign w:val="center"/>
          </w:tcPr>
          <w:p w14:paraId="27199905" w14:textId="11EC6C2A" w:rsidR="00F4137D" w:rsidRPr="007D792C" w:rsidRDefault="00C5235D" w:rsidP="00F4137D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Оценка плана по поддержке решения после завершения проекта</w:t>
            </w:r>
            <w:r w:rsidR="00D9265C" w:rsidRPr="007D792C"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06" w:type="pct"/>
            <w:vAlign w:val="center"/>
          </w:tcPr>
          <w:p w14:paraId="1C101F99" w14:textId="3FA324D3" w:rsidR="00F4137D" w:rsidRPr="007D792C" w:rsidRDefault="00A9774C" w:rsidP="00F4137D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7D792C">
              <w:rPr>
                <w:iCs/>
                <w:sz w:val="22"/>
                <w:szCs w:val="22"/>
                <w:lang w:val="ru-RU"/>
              </w:rPr>
              <w:t>50%</w:t>
            </w:r>
          </w:p>
        </w:tc>
      </w:tr>
      <w:tr w:rsidR="00F4137D" w:rsidRPr="007D792C" w14:paraId="7DCF41EA" w14:textId="77777777" w:rsidTr="004568B5">
        <w:trPr>
          <w:trHeight w:val="50"/>
          <w:jc w:val="center"/>
        </w:trPr>
        <w:tc>
          <w:tcPr>
            <w:tcW w:w="1720" w:type="pct"/>
          </w:tcPr>
          <w:p w14:paraId="7AB22FF4" w14:textId="2577B990" w:rsidR="00F4137D" w:rsidRPr="007D792C" w:rsidRDefault="002A15F5" w:rsidP="00A9774C">
            <w:pPr>
              <w:ind w:left="731" w:hanging="567"/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lastRenderedPageBreak/>
              <w:t>3.2.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ab/>
            </w:r>
            <w:r w:rsidR="001E1C3B" w:rsidRPr="007D792C">
              <w:rPr>
                <w:bCs/>
                <w:iCs/>
                <w:sz w:val="22"/>
                <w:szCs w:val="22"/>
                <w:lang w:val="ru-RU"/>
              </w:rPr>
              <w:t>Долгосрочная финансовая устойчивость</w:t>
            </w:r>
          </w:p>
        </w:tc>
        <w:tc>
          <w:tcPr>
            <w:tcW w:w="2774" w:type="pct"/>
            <w:vAlign w:val="center"/>
          </w:tcPr>
          <w:p w14:paraId="2F9BF90F" w14:textId="7B73337A" w:rsidR="00F4137D" w:rsidRPr="007D792C" w:rsidRDefault="00C5235D" w:rsidP="00F4137D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Оценка способности решения получить финансовую поддержку от других доноров в долгосрочной перспективе и открытость заявителя для привлечения других средств на поддержание и развитие предлагаемого решения</w:t>
            </w:r>
            <w:r w:rsidR="00860A1E" w:rsidRPr="007D792C"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06" w:type="pct"/>
            <w:vAlign w:val="center"/>
          </w:tcPr>
          <w:p w14:paraId="4A7ECEC5" w14:textId="148FDAF1" w:rsidR="00F4137D" w:rsidRPr="007D792C" w:rsidRDefault="00860A1E" w:rsidP="00F4137D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30%</w:t>
            </w:r>
          </w:p>
        </w:tc>
      </w:tr>
      <w:tr w:rsidR="00F4137D" w:rsidRPr="007D792C" w14:paraId="74BA6714" w14:textId="77777777" w:rsidTr="004568B5">
        <w:trPr>
          <w:trHeight w:val="50"/>
          <w:jc w:val="center"/>
        </w:trPr>
        <w:tc>
          <w:tcPr>
            <w:tcW w:w="1720" w:type="pct"/>
          </w:tcPr>
          <w:p w14:paraId="56FC3830" w14:textId="633EFFBB" w:rsidR="00F4137D" w:rsidRPr="007D792C" w:rsidRDefault="00114D35" w:rsidP="00A9774C">
            <w:pPr>
              <w:ind w:left="731" w:hanging="567"/>
              <w:rPr>
                <w:bCs/>
                <w:iCs/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3.3.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ab/>
            </w:r>
            <w:r w:rsidR="00462ED0" w:rsidRPr="007D792C">
              <w:rPr>
                <w:bCs/>
                <w:iCs/>
                <w:sz w:val="22"/>
                <w:szCs w:val="22"/>
                <w:lang w:val="ru-RU"/>
              </w:rPr>
              <w:t>Возможность</w:t>
            </w:r>
            <w:r w:rsidR="00C5235D" w:rsidRPr="007D792C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EA1764" w:rsidRPr="007D792C">
              <w:rPr>
                <w:bCs/>
                <w:iCs/>
                <w:sz w:val="22"/>
                <w:szCs w:val="22"/>
                <w:lang w:val="ru-RU"/>
              </w:rPr>
              <w:t>участи</w:t>
            </w:r>
            <w:r w:rsidR="00EA1764">
              <w:rPr>
                <w:bCs/>
                <w:iCs/>
                <w:sz w:val="22"/>
                <w:szCs w:val="22"/>
                <w:lang w:val="ru-RU"/>
              </w:rPr>
              <w:t>я</w:t>
            </w:r>
            <w:r w:rsidR="00EA1764" w:rsidRPr="007D792C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C5235D" w:rsidRPr="007D792C">
              <w:rPr>
                <w:bCs/>
                <w:iCs/>
                <w:sz w:val="22"/>
                <w:szCs w:val="22"/>
                <w:lang w:val="ru-RU"/>
              </w:rPr>
              <w:t>целевой группы (пользователей)</w:t>
            </w:r>
          </w:p>
        </w:tc>
        <w:tc>
          <w:tcPr>
            <w:tcW w:w="2774" w:type="pct"/>
            <w:vAlign w:val="center"/>
          </w:tcPr>
          <w:p w14:paraId="2504720A" w14:textId="248434B8" w:rsidR="00F4137D" w:rsidRPr="007D792C" w:rsidRDefault="00C5235D" w:rsidP="00F4137D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bCs/>
                <w:iCs/>
                <w:sz w:val="22"/>
                <w:szCs w:val="22"/>
                <w:lang w:val="ru-RU"/>
              </w:rPr>
              <w:t>Оценка степени вовлеченности пользователей в</w:t>
            </w:r>
            <w:r w:rsidR="00D12E0F">
              <w:rPr>
                <w:bCs/>
                <w:iCs/>
                <w:sz w:val="22"/>
                <w:szCs w:val="22"/>
                <w:lang w:val="ru-RU"/>
              </w:rPr>
              <w:t xml:space="preserve"> процесс </w:t>
            </w:r>
            <w:r w:rsidR="00D12E0F" w:rsidRPr="007D792C">
              <w:rPr>
                <w:bCs/>
                <w:iCs/>
                <w:sz w:val="22"/>
                <w:szCs w:val="22"/>
                <w:lang w:val="ru-RU"/>
              </w:rPr>
              <w:t>разработк</w:t>
            </w:r>
            <w:r w:rsidR="00D12E0F">
              <w:rPr>
                <w:bCs/>
                <w:iCs/>
                <w:sz w:val="22"/>
                <w:szCs w:val="22"/>
                <w:lang w:val="ru-RU"/>
              </w:rPr>
              <w:t>и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>, тестировани</w:t>
            </w:r>
            <w:r w:rsidR="00E318D1">
              <w:rPr>
                <w:bCs/>
                <w:iCs/>
                <w:sz w:val="22"/>
                <w:szCs w:val="22"/>
                <w:lang w:val="ru-RU"/>
              </w:rPr>
              <w:t>я</w:t>
            </w:r>
            <w:r w:rsidR="00AE681B">
              <w:rPr>
                <w:bCs/>
                <w:iCs/>
                <w:sz w:val="22"/>
                <w:szCs w:val="22"/>
                <w:lang w:val="ru-RU"/>
              </w:rPr>
              <w:t xml:space="preserve"> работы и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 xml:space="preserve"> функционал</w:t>
            </w:r>
            <w:r w:rsidR="00AE681B">
              <w:rPr>
                <w:bCs/>
                <w:iCs/>
                <w:sz w:val="22"/>
                <w:szCs w:val="22"/>
                <w:lang w:val="ru-RU"/>
              </w:rPr>
              <w:t>а</w:t>
            </w:r>
            <w:r w:rsidRPr="007D792C">
              <w:rPr>
                <w:bCs/>
                <w:iCs/>
                <w:sz w:val="22"/>
                <w:szCs w:val="22"/>
                <w:lang w:val="ru-RU"/>
              </w:rPr>
              <w:t xml:space="preserve"> решения</w:t>
            </w:r>
            <w:r w:rsidR="00860A1E" w:rsidRPr="007D792C"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06" w:type="pct"/>
            <w:vAlign w:val="center"/>
          </w:tcPr>
          <w:p w14:paraId="3697B2FD" w14:textId="531D53B8" w:rsidR="00F4137D" w:rsidRPr="007D792C" w:rsidRDefault="00860A1E" w:rsidP="00F4137D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20%</w:t>
            </w:r>
          </w:p>
        </w:tc>
      </w:tr>
      <w:tr w:rsidR="004B24A5" w:rsidRPr="007D792C" w14:paraId="270BB280" w14:textId="77777777" w:rsidTr="004B24A5">
        <w:trPr>
          <w:trHeight w:val="50"/>
          <w:jc w:val="center"/>
        </w:trPr>
        <w:tc>
          <w:tcPr>
            <w:tcW w:w="4494" w:type="pct"/>
            <w:gridSpan w:val="2"/>
            <w:vAlign w:val="center"/>
          </w:tcPr>
          <w:p w14:paraId="6B00A86D" w14:textId="21C43498" w:rsidR="004B24A5" w:rsidRPr="007D792C" w:rsidRDefault="004B24A5" w:rsidP="004B24A5">
            <w:pPr>
              <w:ind w:left="306" w:hanging="306"/>
              <w:rPr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4.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5C669F" w:rsidRPr="007D792C">
              <w:rPr>
                <w:b/>
                <w:bCs/>
                <w:sz w:val="22"/>
                <w:szCs w:val="22"/>
                <w:lang w:val="ru-RU"/>
              </w:rPr>
              <w:t>Осуществимость проекта</w:t>
            </w:r>
          </w:p>
        </w:tc>
        <w:tc>
          <w:tcPr>
            <w:tcW w:w="506" w:type="pct"/>
            <w:vAlign w:val="center"/>
          </w:tcPr>
          <w:p w14:paraId="134A5E2D" w14:textId="47C0DB3C" w:rsidR="004B24A5" w:rsidRPr="007D792C" w:rsidRDefault="004B24A5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10%</w:t>
            </w:r>
          </w:p>
        </w:tc>
      </w:tr>
      <w:tr w:rsidR="00193177" w:rsidRPr="007D792C" w14:paraId="0E6CA653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06CB9D4A" w14:textId="4FA667CF" w:rsidR="00193177" w:rsidRPr="007D792C" w:rsidRDefault="00AB7BE0" w:rsidP="00AB7BE0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4.1.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5C669F" w:rsidRPr="007D792C">
              <w:rPr>
                <w:sz w:val="22"/>
                <w:szCs w:val="22"/>
                <w:lang w:val="ru-RU"/>
              </w:rPr>
              <w:t>Наличие хорошо продуманного технического плана</w:t>
            </w:r>
          </w:p>
        </w:tc>
        <w:tc>
          <w:tcPr>
            <w:tcW w:w="2774" w:type="pct"/>
            <w:vAlign w:val="center"/>
          </w:tcPr>
          <w:p w14:paraId="4C5DC99E" w14:textId="35B2F400" w:rsidR="00193177" w:rsidRPr="007D792C" w:rsidRDefault="005C669F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качества и детализации технического плана проекта. Анализ пригодности и доступности предлагаемых технологий для реализации</w:t>
            </w:r>
          </w:p>
        </w:tc>
        <w:tc>
          <w:tcPr>
            <w:tcW w:w="506" w:type="pct"/>
            <w:vAlign w:val="center"/>
          </w:tcPr>
          <w:p w14:paraId="450C92E8" w14:textId="4082172C" w:rsidR="00193177" w:rsidRPr="007D792C" w:rsidRDefault="00AB7BE0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60%</w:t>
            </w:r>
          </w:p>
        </w:tc>
      </w:tr>
      <w:tr w:rsidR="00AB7BE0" w:rsidRPr="007D792C" w14:paraId="002C61B3" w14:textId="77777777" w:rsidTr="005C669F">
        <w:trPr>
          <w:trHeight w:val="1170"/>
          <w:jc w:val="center"/>
        </w:trPr>
        <w:tc>
          <w:tcPr>
            <w:tcW w:w="1720" w:type="pct"/>
            <w:vAlign w:val="center"/>
          </w:tcPr>
          <w:p w14:paraId="4D1D87BC" w14:textId="0A50D13D" w:rsidR="00AB7BE0" w:rsidRPr="007D792C" w:rsidRDefault="00425222" w:rsidP="00AB7BE0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4.2.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5C669F" w:rsidRPr="007D792C">
              <w:rPr>
                <w:sz w:val="22"/>
                <w:szCs w:val="22"/>
                <w:lang w:val="ru-RU"/>
              </w:rPr>
              <w:t>Анализ нормативно-правовой базы</w:t>
            </w:r>
          </w:p>
        </w:tc>
        <w:tc>
          <w:tcPr>
            <w:tcW w:w="2774" w:type="pct"/>
            <w:vAlign w:val="center"/>
          </w:tcPr>
          <w:p w14:paraId="00ED0800" w14:textId="2707AF51" w:rsidR="00AB7BE0" w:rsidRPr="007D792C" w:rsidRDefault="005C669F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ресурсов и опыта, имеющихся для реализации проекта (если он не противоречит национальному законодательству и соответствует положениям регламента о защите персональных данных)</w:t>
            </w:r>
          </w:p>
        </w:tc>
        <w:tc>
          <w:tcPr>
            <w:tcW w:w="506" w:type="pct"/>
            <w:vAlign w:val="center"/>
          </w:tcPr>
          <w:p w14:paraId="20588D2B" w14:textId="0012B530" w:rsidR="00AB7BE0" w:rsidRPr="007D792C" w:rsidRDefault="00425222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20%</w:t>
            </w:r>
          </w:p>
        </w:tc>
      </w:tr>
      <w:tr w:rsidR="00425222" w:rsidRPr="007D792C" w14:paraId="28D4AE27" w14:textId="77777777" w:rsidTr="005C669F">
        <w:trPr>
          <w:trHeight w:val="833"/>
          <w:jc w:val="center"/>
        </w:trPr>
        <w:tc>
          <w:tcPr>
            <w:tcW w:w="1720" w:type="pct"/>
            <w:vAlign w:val="center"/>
          </w:tcPr>
          <w:p w14:paraId="2A637F7B" w14:textId="6AE38763" w:rsidR="00425222" w:rsidRPr="007D792C" w:rsidRDefault="00D631A1" w:rsidP="00AB7BE0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4.3.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5C669F" w:rsidRPr="007D792C">
              <w:rPr>
                <w:sz w:val="22"/>
                <w:szCs w:val="22"/>
                <w:lang w:val="ru-RU"/>
              </w:rPr>
              <w:t>Анализ рисков</w:t>
            </w:r>
          </w:p>
        </w:tc>
        <w:tc>
          <w:tcPr>
            <w:tcW w:w="2774" w:type="pct"/>
            <w:vAlign w:val="center"/>
          </w:tcPr>
          <w:p w14:paraId="461E521F" w14:textId="794D9834" w:rsidR="00425222" w:rsidRPr="007D792C" w:rsidRDefault="005C669F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Выяв</w:t>
            </w:r>
            <w:r w:rsidR="00E70BC5">
              <w:rPr>
                <w:sz w:val="22"/>
                <w:szCs w:val="22"/>
                <w:lang w:val="ru-RU"/>
              </w:rPr>
              <w:t>ление</w:t>
            </w:r>
            <w:r w:rsidRPr="007D792C">
              <w:rPr>
                <w:sz w:val="22"/>
                <w:szCs w:val="22"/>
                <w:lang w:val="ru-RU"/>
              </w:rPr>
              <w:t xml:space="preserve"> потенциальные риск</w:t>
            </w:r>
            <w:r w:rsidR="00136A19">
              <w:rPr>
                <w:sz w:val="22"/>
                <w:szCs w:val="22"/>
                <w:lang w:val="ru-RU"/>
              </w:rPr>
              <w:t>ов</w:t>
            </w:r>
            <w:r w:rsidRPr="007D792C">
              <w:rPr>
                <w:sz w:val="22"/>
                <w:szCs w:val="22"/>
                <w:lang w:val="ru-RU"/>
              </w:rPr>
              <w:t xml:space="preserve"> и оцен</w:t>
            </w:r>
            <w:r w:rsidR="00136A19">
              <w:rPr>
                <w:sz w:val="22"/>
                <w:szCs w:val="22"/>
                <w:lang w:val="ru-RU"/>
              </w:rPr>
              <w:t>ка</w:t>
            </w:r>
            <w:r w:rsidRPr="007D792C">
              <w:rPr>
                <w:sz w:val="22"/>
                <w:szCs w:val="22"/>
                <w:lang w:val="ru-RU"/>
              </w:rPr>
              <w:t xml:space="preserve"> их влияние на проект. Разработка планов по снижению рисков для минимизации их влияния</w:t>
            </w:r>
          </w:p>
        </w:tc>
        <w:tc>
          <w:tcPr>
            <w:tcW w:w="506" w:type="pct"/>
            <w:vAlign w:val="center"/>
          </w:tcPr>
          <w:p w14:paraId="14415132" w14:textId="6B00870F" w:rsidR="00425222" w:rsidRPr="007D792C" w:rsidRDefault="00D631A1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20%</w:t>
            </w:r>
          </w:p>
        </w:tc>
      </w:tr>
      <w:tr w:rsidR="00926461" w:rsidRPr="007D792C" w14:paraId="7AFCB805" w14:textId="77777777" w:rsidTr="00926461">
        <w:trPr>
          <w:trHeight w:val="50"/>
          <w:jc w:val="center"/>
        </w:trPr>
        <w:tc>
          <w:tcPr>
            <w:tcW w:w="4494" w:type="pct"/>
            <w:gridSpan w:val="2"/>
            <w:vAlign w:val="center"/>
          </w:tcPr>
          <w:p w14:paraId="14CA82D7" w14:textId="1173AC72" w:rsidR="00926461" w:rsidRPr="007D792C" w:rsidRDefault="00926461" w:rsidP="00926461">
            <w:pPr>
              <w:ind w:left="306" w:hanging="306"/>
              <w:rPr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5.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AF1945" w:rsidRPr="007D792C">
              <w:rPr>
                <w:b/>
                <w:bCs/>
                <w:sz w:val="22"/>
                <w:szCs w:val="22"/>
                <w:lang w:val="ru-RU"/>
              </w:rPr>
              <w:t>Бенефициары проекта</w:t>
            </w:r>
          </w:p>
        </w:tc>
        <w:tc>
          <w:tcPr>
            <w:tcW w:w="506" w:type="pct"/>
            <w:vAlign w:val="center"/>
          </w:tcPr>
          <w:p w14:paraId="380A376A" w14:textId="2740EBED" w:rsidR="00926461" w:rsidRPr="007D792C" w:rsidRDefault="00926461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10%</w:t>
            </w:r>
          </w:p>
        </w:tc>
      </w:tr>
      <w:tr w:rsidR="00D631A1" w:rsidRPr="007D792C" w14:paraId="6EEE707F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465E9FEE" w14:textId="30D50677" w:rsidR="00D631A1" w:rsidRPr="007D792C" w:rsidRDefault="00565747" w:rsidP="00565747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5.1.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AF1945" w:rsidRPr="007D792C">
              <w:rPr>
                <w:sz w:val="22"/>
                <w:szCs w:val="22"/>
                <w:lang w:val="ru-RU"/>
              </w:rPr>
              <w:t xml:space="preserve">Четкое описание </w:t>
            </w:r>
            <w:r w:rsidR="00261545" w:rsidRPr="007D792C">
              <w:rPr>
                <w:sz w:val="22"/>
                <w:szCs w:val="22"/>
                <w:lang w:val="ru-RU"/>
              </w:rPr>
              <w:t>бенефициар</w:t>
            </w:r>
            <w:r w:rsidR="00261545">
              <w:rPr>
                <w:sz w:val="22"/>
                <w:szCs w:val="22"/>
                <w:lang w:val="ru-RU"/>
              </w:rPr>
              <w:t>ов</w:t>
            </w:r>
          </w:p>
        </w:tc>
        <w:tc>
          <w:tcPr>
            <w:tcW w:w="2774" w:type="pct"/>
            <w:vAlign w:val="center"/>
          </w:tcPr>
          <w:p w14:paraId="372A3B89" w14:textId="14942DA1" w:rsidR="00D631A1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Оцените ясность и детализацию бенефициаров решения</w:t>
            </w:r>
          </w:p>
        </w:tc>
        <w:tc>
          <w:tcPr>
            <w:tcW w:w="506" w:type="pct"/>
            <w:vAlign w:val="center"/>
          </w:tcPr>
          <w:p w14:paraId="6A3ADAF2" w14:textId="2CDCE480" w:rsidR="00D631A1" w:rsidRPr="007D792C" w:rsidRDefault="00565747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50%</w:t>
            </w:r>
          </w:p>
        </w:tc>
      </w:tr>
      <w:tr w:rsidR="00926461" w:rsidRPr="007D792C" w14:paraId="2328F63B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748F5BDD" w14:textId="52C1179E" w:rsidR="00926461" w:rsidRPr="007D792C" w:rsidRDefault="007E0873" w:rsidP="007E0873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5.2.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AF1945" w:rsidRPr="007D792C">
              <w:rPr>
                <w:sz w:val="22"/>
                <w:szCs w:val="22"/>
                <w:lang w:val="ru-RU"/>
              </w:rPr>
              <w:t>Потенциальное воздействие на различные группы населения</w:t>
            </w:r>
          </w:p>
        </w:tc>
        <w:tc>
          <w:tcPr>
            <w:tcW w:w="2774" w:type="pct"/>
            <w:vAlign w:val="center"/>
          </w:tcPr>
          <w:p w14:paraId="3AC42459" w14:textId="7BB79516" w:rsidR="00926461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потенциала решения по оказанию положительного воздействия на различные группы бенефициаров</w:t>
            </w:r>
          </w:p>
        </w:tc>
        <w:tc>
          <w:tcPr>
            <w:tcW w:w="506" w:type="pct"/>
            <w:vAlign w:val="center"/>
          </w:tcPr>
          <w:p w14:paraId="11B335F0" w14:textId="29BA06B6" w:rsidR="00926461" w:rsidRPr="007D792C" w:rsidRDefault="007E0873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50%</w:t>
            </w:r>
          </w:p>
        </w:tc>
      </w:tr>
      <w:tr w:rsidR="00864493" w:rsidRPr="007D792C" w14:paraId="75E19963" w14:textId="77777777" w:rsidTr="00864493">
        <w:trPr>
          <w:trHeight w:val="50"/>
          <w:jc w:val="center"/>
        </w:trPr>
        <w:tc>
          <w:tcPr>
            <w:tcW w:w="4494" w:type="pct"/>
            <w:gridSpan w:val="2"/>
            <w:vAlign w:val="center"/>
          </w:tcPr>
          <w:p w14:paraId="53E31113" w14:textId="07E4631F" w:rsidR="00864493" w:rsidRPr="007D792C" w:rsidRDefault="00864493" w:rsidP="00864493">
            <w:pPr>
              <w:ind w:left="306" w:hanging="306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6.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291933" w:rsidRPr="007D792C">
              <w:rPr>
                <w:b/>
                <w:bCs/>
                <w:sz w:val="22"/>
                <w:szCs w:val="22"/>
                <w:lang w:val="ru-RU"/>
              </w:rPr>
              <w:t>Влияние проекта</w:t>
            </w:r>
          </w:p>
        </w:tc>
        <w:tc>
          <w:tcPr>
            <w:tcW w:w="506" w:type="pct"/>
            <w:vAlign w:val="center"/>
          </w:tcPr>
          <w:p w14:paraId="4912EB81" w14:textId="56955E2C" w:rsidR="00864493" w:rsidRPr="007D792C" w:rsidRDefault="00864493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10%</w:t>
            </w:r>
          </w:p>
        </w:tc>
      </w:tr>
      <w:tr w:rsidR="00926461" w:rsidRPr="007D792C" w14:paraId="5D2599AC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5CF84AF1" w14:textId="7765DB91" w:rsidR="00926461" w:rsidRPr="007D792C" w:rsidRDefault="00E27EF2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6.1.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3F45EB" w:rsidRPr="007D792C">
              <w:rPr>
                <w:sz w:val="22"/>
                <w:szCs w:val="22"/>
                <w:lang w:val="ru-RU"/>
              </w:rPr>
              <w:t>Четк</w:t>
            </w:r>
            <w:r w:rsidR="003F45EB">
              <w:rPr>
                <w:sz w:val="22"/>
                <w:szCs w:val="22"/>
                <w:lang w:val="ru-RU"/>
              </w:rPr>
              <w:t>о</w:t>
            </w:r>
            <w:r w:rsidR="003F45EB" w:rsidRPr="007D792C">
              <w:rPr>
                <w:sz w:val="22"/>
                <w:szCs w:val="22"/>
                <w:lang w:val="ru-RU"/>
              </w:rPr>
              <w:t xml:space="preserve"> </w:t>
            </w:r>
            <w:r w:rsidR="00291933" w:rsidRPr="007D792C">
              <w:rPr>
                <w:sz w:val="22"/>
                <w:szCs w:val="22"/>
                <w:lang w:val="ru-RU"/>
              </w:rPr>
              <w:t>измеримые результаты</w:t>
            </w:r>
          </w:p>
        </w:tc>
        <w:tc>
          <w:tcPr>
            <w:tcW w:w="2774" w:type="pct"/>
            <w:vAlign w:val="center"/>
          </w:tcPr>
          <w:p w14:paraId="3C5FE0BC" w14:textId="19A54FCD" w:rsidR="00926461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</w:t>
            </w:r>
            <w:r w:rsidR="000D6A74">
              <w:rPr>
                <w:sz w:val="22"/>
                <w:szCs w:val="22"/>
                <w:lang w:val="ru-RU"/>
              </w:rPr>
              <w:t>детализации</w:t>
            </w:r>
            <w:r w:rsidR="000D6A74" w:rsidRPr="007D792C">
              <w:rPr>
                <w:sz w:val="22"/>
                <w:szCs w:val="22"/>
                <w:lang w:val="ru-RU"/>
              </w:rPr>
              <w:t xml:space="preserve"> </w:t>
            </w:r>
            <w:r w:rsidRPr="007D792C">
              <w:rPr>
                <w:sz w:val="22"/>
                <w:szCs w:val="22"/>
                <w:lang w:val="ru-RU"/>
              </w:rPr>
              <w:t>и измеримости предлагаемых результатов</w:t>
            </w:r>
          </w:p>
        </w:tc>
        <w:tc>
          <w:tcPr>
            <w:tcW w:w="506" w:type="pct"/>
            <w:vAlign w:val="center"/>
          </w:tcPr>
          <w:p w14:paraId="453D5653" w14:textId="2E6A20DF" w:rsidR="00926461" w:rsidRPr="007D792C" w:rsidRDefault="00E27EF2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50%</w:t>
            </w:r>
          </w:p>
        </w:tc>
      </w:tr>
      <w:tr w:rsidR="00E27EF2" w:rsidRPr="007D792C" w14:paraId="783F0D62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299A3AA6" w14:textId="1837A68C" w:rsidR="00E27EF2" w:rsidRPr="007D792C" w:rsidRDefault="005F2696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6.2.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291933" w:rsidRPr="007D792C">
              <w:rPr>
                <w:sz w:val="22"/>
                <w:szCs w:val="22"/>
                <w:lang w:val="ru-RU"/>
              </w:rPr>
              <w:t>Потенциальное число людей, на которых оказано положительное влияние</w:t>
            </w:r>
          </w:p>
        </w:tc>
        <w:tc>
          <w:tcPr>
            <w:tcW w:w="2774" w:type="pct"/>
            <w:vAlign w:val="center"/>
          </w:tcPr>
          <w:p w14:paraId="1CC8BA03" w14:textId="67DFFCAF" w:rsidR="00E27EF2" w:rsidRPr="007D792C" w:rsidRDefault="00CC788D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количеств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Pr="007D792C">
              <w:rPr>
                <w:sz w:val="22"/>
                <w:szCs w:val="22"/>
                <w:lang w:val="ru-RU"/>
              </w:rPr>
              <w:t xml:space="preserve"> </w:t>
            </w:r>
            <w:r w:rsidR="00291933" w:rsidRPr="007D792C">
              <w:rPr>
                <w:sz w:val="22"/>
                <w:szCs w:val="22"/>
                <w:lang w:val="ru-RU"/>
              </w:rPr>
              <w:t xml:space="preserve">людей, </w:t>
            </w:r>
            <w:r w:rsidR="00E74332">
              <w:rPr>
                <w:sz w:val="22"/>
                <w:szCs w:val="22"/>
                <w:lang w:val="ru-RU"/>
              </w:rPr>
              <w:t xml:space="preserve">на </w:t>
            </w:r>
            <w:r w:rsidR="00291933" w:rsidRPr="007D792C">
              <w:rPr>
                <w:sz w:val="22"/>
                <w:szCs w:val="22"/>
                <w:lang w:val="ru-RU"/>
              </w:rPr>
              <w:t>которы</w:t>
            </w:r>
            <w:r w:rsidR="00E74332">
              <w:rPr>
                <w:sz w:val="22"/>
                <w:szCs w:val="22"/>
                <w:lang w:val="ru-RU"/>
              </w:rPr>
              <w:t>х</w:t>
            </w:r>
            <w:r w:rsidR="00113481">
              <w:rPr>
                <w:sz w:val="22"/>
                <w:szCs w:val="22"/>
                <w:lang w:val="ru-RU"/>
              </w:rPr>
              <w:t xml:space="preserve"> предложенное решение окажет</w:t>
            </w:r>
            <w:r w:rsidR="00291933" w:rsidRPr="007D792C">
              <w:rPr>
                <w:sz w:val="22"/>
                <w:szCs w:val="22"/>
                <w:lang w:val="ru-RU"/>
              </w:rPr>
              <w:t xml:space="preserve"> </w:t>
            </w:r>
            <w:r w:rsidR="00113481">
              <w:rPr>
                <w:sz w:val="22"/>
                <w:szCs w:val="22"/>
                <w:lang w:val="ru-RU"/>
              </w:rPr>
              <w:t>положительное влияние</w:t>
            </w:r>
          </w:p>
        </w:tc>
        <w:tc>
          <w:tcPr>
            <w:tcW w:w="506" w:type="pct"/>
            <w:vAlign w:val="center"/>
          </w:tcPr>
          <w:p w14:paraId="5B94D869" w14:textId="49B9B4D7" w:rsidR="00E27EF2" w:rsidRPr="007D792C" w:rsidRDefault="005F2696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50%</w:t>
            </w:r>
          </w:p>
        </w:tc>
      </w:tr>
      <w:tr w:rsidR="00FF3EDA" w:rsidRPr="007D792C" w14:paraId="02CD97FC" w14:textId="77777777" w:rsidTr="00FF3EDA">
        <w:trPr>
          <w:trHeight w:val="50"/>
          <w:jc w:val="center"/>
        </w:trPr>
        <w:tc>
          <w:tcPr>
            <w:tcW w:w="4494" w:type="pct"/>
            <w:gridSpan w:val="2"/>
            <w:vAlign w:val="center"/>
          </w:tcPr>
          <w:p w14:paraId="59E904CB" w14:textId="19A6FB64" w:rsidR="00FF3EDA" w:rsidRPr="007D792C" w:rsidRDefault="00FF3EDA" w:rsidP="00FF3EDA">
            <w:pPr>
              <w:ind w:left="306" w:hanging="306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7.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291933" w:rsidRPr="007D792C">
              <w:rPr>
                <w:b/>
                <w:bCs/>
                <w:sz w:val="22"/>
                <w:szCs w:val="22"/>
                <w:lang w:val="ru-RU"/>
              </w:rPr>
              <w:t>Мониторинг проекта</w:t>
            </w:r>
          </w:p>
        </w:tc>
        <w:tc>
          <w:tcPr>
            <w:tcW w:w="506" w:type="pct"/>
            <w:vAlign w:val="center"/>
          </w:tcPr>
          <w:p w14:paraId="5B69BEE7" w14:textId="01AF9799" w:rsidR="00FF3EDA" w:rsidRPr="007D792C" w:rsidRDefault="00FF3EDA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5%</w:t>
            </w:r>
          </w:p>
        </w:tc>
      </w:tr>
      <w:tr w:rsidR="00F32198" w:rsidRPr="007D792C" w14:paraId="03EDED90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7449F386" w14:textId="13977CFB" w:rsidR="00F32198" w:rsidRPr="007D792C" w:rsidRDefault="00FF3EDA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7.1.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291933" w:rsidRPr="007D792C">
              <w:rPr>
                <w:sz w:val="22"/>
                <w:szCs w:val="22"/>
                <w:lang w:val="ru-RU"/>
              </w:rPr>
              <w:t>Система мониторинга и оценки воздействия</w:t>
            </w:r>
          </w:p>
        </w:tc>
        <w:tc>
          <w:tcPr>
            <w:tcW w:w="2774" w:type="pct"/>
            <w:vAlign w:val="center"/>
          </w:tcPr>
          <w:p w14:paraId="54104F4B" w14:textId="1AC4FFB0" w:rsidR="00F32198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Оцените наличие четкой системы мониторинга прогресса и оценки воздействия проекта</w:t>
            </w:r>
          </w:p>
        </w:tc>
        <w:tc>
          <w:tcPr>
            <w:tcW w:w="506" w:type="pct"/>
            <w:vAlign w:val="center"/>
          </w:tcPr>
          <w:p w14:paraId="10BED494" w14:textId="543B5C95" w:rsidR="00F32198" w:rsidRPr="007D792C" w:rsidRDefault="00967A50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50%</w:t>
            </w:r>
          </w:p>
        </w:tc>
      </w:tr>
      <w:tr w:rsidR="00F32198" w:rsidRPr="007D792C" w14:paraId="2EFE2EF6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0345CA47" w14:textId="0AA37442" w:rsidR="00F32198" w:rsidRPr="007D792C" w:rsidRDefault="005E25D5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7.2.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291933" w:rsidRPr="007D792C">
              <w:rPr>
                <w:sz w:val="22"/>
                <w:szCs w:val="22"/>
                <w:lang w:val="ru-RU"/>
              </w:rPr>
              <w:t>Предлагаемые конкретные показатели мониторинга</w:t>
            </w:r>
          </w:p>
        </w:tc>
        <w:tc>
          <w:tcPr>
            <w:tcW w:w="2774" w:type="pct"/>
            <w:vAlign w:val="center"/>
          </w:tcPr>
          <w:p w14:paraId="276DBA05" w14:textId="7DF98DB5" w:rsidR="00F32198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наличия предлагаемых показателей для мониторинга проекта</w:t>
            </w:r>
          </w:p>
        </w:tc>
        <w:tc>
          <w:tcPr>
            <w:tcW w:w="506" w:type="pct"/>
            <w:vAlign w:val="center"/>
          </w:tcPr>
          <w:p w14:paraId="37861C73" w14:textId="380417ED" w:rsidR="00F32198" w:rsidRPr="007D792C" w:rsidRDefault="005E25D5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25%</w:t>
            </w:r>
          </w:p>
        </w:tc>
      </w:tr>
      <w:tr w:rsidR="00F32198" w:rsidRPr="007D792C" w14:paraId="2A9CF7D0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685C5C45" w14:textId="7D868384" w:rsidR="00F32198" w:rsidRPr="007D792C" w:rsidRDefault="00967A50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7.3.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291933" w:rsidRPr="007D792C">
              <w:rPr>
                <w:sz w:val="22"/>
                <w:szCs w:val="22"/>
                <w:lang w:val="ru-RU"/>
              </w:rPr>
              <w:t>Описан метод сбора данных</w:t>
            </w:r>
          </w:p>
        </w:tc>
        <w:tc>
          <w:tcPr>
            <w:tcW w:w="2774" w:type="pct"/>
            <w:vAlign w:val="center"/>
          </w:tcPr>
          <w:p w14:paraId="3A4CB927" w14:textId="324132A8" w:rsidR="00F32198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метода сбора данных для мониторинга проекта</w:t>
            </w:r>
          </w:p>
        </w:tc>
        <w:tc>
          <w:tcPr>
            <w:tcW w:w="506" w:type="pct"/>
            <w:vAlign w:val="center"/>
          </w:tcPr>
          <w:p w14:paraId="2C67F133" w14:textId="7F4FDCCA" w:rsidR="00F32198" w:rsidRPr="007D792C" w:rsidRDefault="00967A50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25%</w:t>
            </w:r>
          </w:p>
        </w:tc>
      </w:tr>
      <w:tr w:rsidR="00453527" w:rsidRPr="007D792C" w14:paraId="0558D131" w14:textId="77777777" w:rsidTr="00453527">
        <w:trPr>
          <w:trHeight w:val="50"/>
          <w:jc w:val="center"/>
        </w:trPr>
        <w:tc>
          <w:tcPr>
            <w:tcW w:w="4494" w:type="pct"/>
            <w:gridSpan w:val="2"/>
            <w:vAlign w:val="center"/>
          </w:tcPr>
          <w:p w14:paraId="6CBA4C72" w14:textId="1B3ACDF6" w:rsidR="00453527" w:rsidRPr="007D792C" w:rsidRDefault="00453527" w:rsidP="00453527">
            <w:pPr>
              <w:ind w:left="306" w:hanging="306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8.</w:t>
            </w:r>
            <w:r w:rsidRPr="007D792C">
              <w:rPr>
                <w:b/>
                <w:bCs/>
                <w:sz w:val="22"/>
                <w:szCs w:val="22"/>
                <w:lang w:val="ru-RU"/>
              </w:rPr>
              <w:tab/>
            </w:r>
            <w:r w:rsidR="001E6557" w:rsidRPr="007D792C">
              <w:rPr>
                <w:b/>
                <w:bCs/>
                <w:sz w:val="22"/>
                <w:szCs w:val="22"/>
                <w:lang w:val="ru-RU"/>
              </w:rPr>
              <w:t>Организационный потенциал</w:t>
            </w:r>
          </w:p>
        </w:tc>
        <w:tc>
          <w:tcPr>
            <w:tcW w:w="506" w:type="pct"/>
            <w:vAlign w:val="center"/>
          </w:tcPr>
          <w:p w14:paraId="42139C1D" w14:textId="6666F1C1" w:rsidR="00453527" w:rsidRPr="007D792C" w:rsidRDefault="00453527" w:rsidP="00E90C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20%</w:t>
            </w:r>
          </w:p>
        </w:tc>
      </w:tr>
      <w:tr w:rsidR="00F32198" w:rsidRPr="007D792C" w14:paraId="2CC66A22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3B5DF14F" w14:textId="38453F08" w:rsidR="00F32198" w:rsidRPr="007D792C" w:rsidRDefault="00B22A88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8.1.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1E6557" w:rsidRPr="007D792C">
              <w:rPr>
                <w:sz w:val="22"/>
                <w:szCs w:val="22"/>
                <w:lang w:val="ru-RU"/>
              </w:rPr>
              <w:t>Приверженность основным целям проекта</w:t>
            </w:r>
          </w:p>
        </w:tc>
        <w:tc>
          <w:tcPr>
            <w:tcW w:w="2774" w:type="pct"/>
            <w:vAlign w:val="center"/>
          </w:tcPr>
          <w:p w14:paraId="1DFF397F" w14:textId="7D72656A" w:rsidR="00F32198" w:rsidRPr="007D792C" w:rsidRDefault="00291933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</w:t>
            </w:r>
            <w:r w:rsidR="00C178A1">
              <w:rPr>
                <w:sz w:val="22"/>
                <w:szCs w:val="22"/>
                <w:lang w:val="ru-RU"/>
              </w:rPr>
              <w:t xml:space="preserve">существующих </w:t>
            </w:r>
            <w:r w:rsidRPr="007D792C">
              <w:rPr>
                <w:sz w:val="22"/>
                <w:szCs w:val="22"/>
                <w:lang w:val="ru-RU"/>
              </w:rPr>
              <w:t>обязательств организации по предотвращению языка вражды и дезинформации</w:t>
            </w:r>
          </w:p>
        </w:tc>
        <w:tc>
          <w:tcPr>
            <w:tcW w:w="506" w:type="pct"/>
            <w:vAlign w:val="center"/>
          </w:tcPr>
          <w:p w14:paraId="634D6FC9" w14:textId="51683CB8" w:rsidR="00F32198" w:rsidRPr="007D792C" w:rsidRDefault="00B22A88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15%</w:t>
            </w:r>
          </w:p>
        </w:tc>
      </w:tr>
      <w:tr w:rsidR="00F32198" w:rsidRPr="007D792C" w14:paraId="7611A261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52E25458" w14:textId="13EA85BD" w:rsidR="00F32198" w:rsidRPr="007D792C" w:rsidRDefault="00917285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8.2.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1E6557" w:rsidRPr="007D792C">
              <w:rPr>
                <w:sz w:val="22"/>
                <w:szCs w:val="22"/>
                <w:lang w:val="ru-RU"/>
              </w:rPr>
              <w:t>Положительная репутация в сообществе</w:t>
            </w:r>
          </w:p>
        </w:tc>
        <w:tc>
          <w:tcPr>
            <w:tcW w:w="2774" w:type="pct"/>
            <w:vAlign w:val="center"/>
          </w:tcPr>
          <w:p w14:paraId="4FCAA46F" w14:textId="16EDBE70" w:rsidR="00F32198" w:rsidRPr="007D792C" w:rsidRDefault="00DE309C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Оцените репутацию организации в обществе и имеющиеся рекомендации</w:t>
            </w:r>
          </w:p>
        </w:tc>
        <w:tc>
          <w:tcPr>
            <w:tcW w:w="506" w:type="pct"/>
            <w:vAlign w:val="center"/>
          </w:tcPr>
          <w:p w14:paraId="2C1328D1" w14:textId="287DB24F" w:rsidR="00F32198" w:rsidRPr="007D792C" w:rsidRDefault="00917285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10%</w:t>
            </w:r>
          </w:p>
        </w:tc>
      </w:tr>
      <w:tr w:rsidR="00F32198" w:rsidRPr="007D792C" w14:paraId="396593E3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1D8F55E2" w14:textId="611613E0" w:rsidR="00F32198" w:rsidRPr="007D792C" w:rsidRDefault="00F80F3A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8.3.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1E6557" w:rsidRPr="007D792C">
              <w:rPr>
                <w:sz w:val="22"/>
                <w:szCs w:val="22"/>
                <w:lang w:val="ru-RU"/>
              </w:rPr>
              <w:t>Прозрачность</w:t>
            </w:r>
          </w:p>
        </w:tc>
        <w:tc>
          <w:tcPr>
            <w:tcW w:w="2774" w:type="pct"/>
            <w:vAlign w:val="center"/>
          </w:tcPr>
          <w:p w14:paraId="1EDE6F48" w14:textId="7419C4C5" w:rsidR="00F32198" w:rsidRPr="007D792C" w:rsidRDefault="00DE309C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прозрачности деятельности организации, включая присутствие в Интернете и публикацию информации</w:t>
            </w:r>
          </w:p>
        </w:tc>
        <w:tc>
          <w:tcPr>
            <w:tcW w:w="506" w:type="pct"/>
            <w:vAlign w:val="center"/>
          </w:tcPr>
          <w:p w14:paraId="565FEF20" w14:textId="5CD4D430" w:rsidR="00F32198" w:rsidRPr="007D792C" w:rsidRDefault="00F80F3A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10%</w:t>
            </w:r>
          </w:p>
        </w:tc>
      </w:tr>
      <w:tr w:rsidR="00F80F3A" w:rsidRPr="007D792C" w14:paraId="4C429A9D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30EF14C5" w14:textId="24BDC529" w:rsidR="00F80F3A" w:rsidRPr="007D792C" w:rsidRDefault="009A1A73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8.4.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1E6557" w:rsidRPr="007D792C">
              <w:rPr>
                <w:sz w:val="22"/>
                <w:szCs w:val="22"/>
                <w:lang w:val="ru-RU"/>
              </w:rPr>
              <w:t>Работа с другими организациями и экспертами в области ИТ</w:t>
            </w:r>
          </w:p>
        </w:tc>
        <w:tc>
          <w:tcPr>
            <w:tcW w:w="2774" w:type="pct"/>
            <w:vAlign w:val="center"/>
          </w:tcPr>
          <w:p w14:paraId="5EFC8F79" w14:textId="799EB355" w:rsidR="00F80F3A" w:rsidRPr="007D792C" w:rsidRDefault="00DE309C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способности организации сотрудничать с другими организациями и экспертами</w:t>
            </w:r>
            <w:r w:rsidR="009A1A73" w:rsidRPr="007D792C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06" w:type="pct"/>
            <w:vAlign w:val="center"/>
          </w:tcPr>
          <w:p w14:paraId="1A1900DB" w14:textId="2AC7B43E" w:rsidR="00F80F3A" w:rsidRPr="007D792C" w:rsidRDefault="009A1A73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15%</w:t>
            </w:r>
          </w:p>
        </w:tc>
      </w:tr>
      <w:tr w:rsidR="009A1A73" w:rsidRPr="007D792C" w14:paraId="519C653F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456456EE" w14:textId="34021D19" w:rsidR="009A1A73" w:rsidRPr="007D792C" w:rsidRDefault="008B105F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8.5.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DE309C" w:rsidRPr="007D792C">
              <w:rPr>
                <w:sz w:val="22"/>
                <w:szCs w:val="22"/>
                <w:lang w:val="ru-RU"/>
              </w:rPr>
              <w:t>Навыки управления проектами</w:t>
            </w:r>
          </w:p>
        </w:tc>
        <w:tc>
          <w:tcPr>
            <w:tcW w:w="2774" w:type="pct"/>
            <w:vAlign w:val="center"/>
          </w:tcPr>
          <w:p w14:paraId="3567B557" w14:textId="39A959C1" w:rsidR="009A1A73" w:rsidRPr="007D792C" w:rsidRDefault="00DE309C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Оценка опыта организации в управлении проектами и навыков работы в команде</w:t>
            </w:r>
          </w:p>
        </w:tc>
        <w:tc>
          <w:tcPr>
            <w:tcW w:w="506" w:type="pct"/>
            <w:vAlign w:val="center"/>
          </w:tcPr>
          <w:p w14:paraId="66A48C04" w14:textId="717CA96F" w:rsidR="009A1A73" w:rsidRPr="007D792C" w:rsidRDefault="008B105F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15%</w:t>
            </w:r>
          </w:p>
        </w:tc>
      </w:tr>
      <w:tr w:rsidR="008B105F" w:rsidRPr="007D792C" w14:paraId="3F8054B4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7E8CCBBF" w14:textId="39AF81A4" w:rsidR="008B105F" w:rsidRPr="007D792C" w:rsidRDefault="00D5095F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lastRenderedPageBreak/>
              <w:t>8.6.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C869FA">
              <w:rPr>
                <w:sz w:val="22"/>
                <w:szCs w:val="22"/>
                <w:lang w:val="ru-RU"/>
              </w:rPr>
              <w:t>Ш</w:t>
            </w:r>
            <w:r w:rsidR="002F6879" w:rsidRPr="007D792C">
              <w:rPr>
                <w:sz w:val="22"/>
                <w:szCs w:val="22"/>
                <w:lang w:val="ru-RU"/>
              </w:rPr>
              <w:t>татн</w:t>
            </w:r>
            <w:r w:rsidR="00C869FA">
              <w:rPr>
                <w:sz w:val="22"/>
                <w:szCs w:val="22"/>
                <w:lang w:val="ru-RU"/>
              </w:rPr>
              <w:t>ая</w:t>
            </w:r>
            <w:r w:rsidR="002F6879" w:rsidRPr="007D792C">
              <w:rPr>
                <w:sz w:val="22"/>
                <w:szCs w:val="22"/>
                <w:lang w:val="ru-RU"/>
              </w:rPr>
              <w:t xml:space="preserve"> </w:t>
            </w:r>
            <w:r w:rsidR="00DE309C" w:rsidRPr="007D792C">
              <w:rPr>
                <w:sz w:val="22"/>
                <w:szCs w:val="22"/>
                <w:lang w:val="ru-RU"/>
              </w:rPr>
              <w:t>или привлеченная техническая экспертиза</w:t>
            </w:r>
          </w:p>
        </w:tc>
        <w:tc>
          <w:tcPr>
            <w:tcW w:w="2774" w:type="pct"/>
            <w:vAlign w:val="center"/>
          </w:tcPr>
          <w:p w14:paraId="7A714F60" w14:textId="1549392B" w:rsidR="008B105F" w:rsidRPr="007D792C" w:rsidRDefault="00DE309C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технического опыта организации или ее </w:t>
            </w:r>
            <w:r w:rsidR="00E976C8">
              <w:rPr>
                <w:sz w:val="22"/>
                <w:szCs w:val="22"/>
                <w:lang w:val="ru-RU"/>
              </w:rPr>
              <w:t>ра</w:t>
            </w:r>
            <w:r w:rsidR="00316747">
              <w:rPr>
                <w:sz w:val="22"/>
                <w:szCs w:val="22"/>
                <w:lang w:val="ru-RU"/>
              </w:rPr>
              <w:t>ботников</w:t>
            </w:r>
            <w:r w:rsidRPr="007D792C">
              <w:rPr>
                <w:sz w:val="22"/>
                <w:szCs w:val="22"/>
                <w:lang w:val="ru-RU"/>
              </w:rPr>
              <w:t>. Оценка квалификации штатной или нанятой технической команды и ее опыта работы с предлагаемыми технологиями</w:t>
            </w:r>
          </w:p>
        </w:tc>
        <w:tc>
          <w:tcPr>
            <w:tcW w:w="506" w:type="pct"/>
            <w:vAlign w:val="center"/>
          </w:tcPr>
          <w:p w14:paraId="67FF12C7" w14:textId="1413079A" w:rsidR="008B105F" w:rsidRPr="007D792C" w:rsidRDefault="00D5095F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20%</w:t>
            </w:r>
          </w:p>
        </w:tc>
      </w:tr>
      <w:tr w:rsidR="008B105F" w:rsidRPr="007D792C" w14:paraId="4424B4D2" w14:textId="77777777" w:rsidTr="004568B5">
        <w:trPr>
          <w:trHeight w:val="50"/>
          <w:jc w:val="center"/>
        </w:trPr>
        <w:tc>
          <w:tcPr>
            <w:tcW w:w="1720" w:type="pct"/>
            <w:vAlign w:val="center"/>
          </w:tcPr>
          <w:p w14:paraId="235F6D02" w14:textId="4DACF085" w:rsidR="008B105F" w:rsidRPr="007D792C" w:rsidRDefault="00E673E7" w:rsidP="00E27EF2">
            <w:pPr>
              <w:ind w:left="731" w:hanging="567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8.7.</w:t>
            </w:r>
            <w:r w:rsidRPr="007D792C">
              <w:rPr>
                <w:sz w:val="22"/>
                <w:szCs w:val="22"/>
                <w:lang w:val="ru-RU"/>
              </w:rPr>
              <w:tab/>
            </w:r>
            <w:r w:rsidR="00DE309C" w:rsidRPr="007D792C">
              <w:rPr>
                <w:sz w:val="22"/>
                <w:szCs w:val="22"/>
                <w:lang w:val="ru-RU"/>
              </w:rPr>
              <w:t>Наличие ресурсов</w:t>
            </w:r>
          </w:p>
        </w:tc>
        <w:tc>
          <w:tcPr>
            <w:tcW w:w="2774" w:type="pct"/>
            <w:vAlign w:val="center"/>
          </w:tcPr>
          <w:p w14:paraId="1EE5AC50" w14:textId="1D0D37D6" w:rsidR="008B105F" w:rsidRPr="007D792C" w:rsidRDefault="00DE309C" w:rsidP="00F765CF">
            <w:pPr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 xml:space="preserve">Оценка наличия человеческих ресурсов и технических </w:t>
            </w:r>
            <w:r w:rsidR="00C869FA">
              <w:rPr>
                <w:sz w:val="22"/>
                <w:szCs w:val="22"/>
                <w:lang w:val="ru-RU"/>
              </w:rPr>
              <w:t>сре</w:t>
            </w:r>
            <w:r w:rsidR="00C811CA">
              <w:rPr>
                <w:sz w:val="22"/>
                <w:szCs w:val="22"/>
                <w:lang w:val="ru-RU"/>
              </w:rPr>
              <w:t>дств</w:t>
            </w:r>
            <w:r w:rsidRPr="007D792C">
              <w:rPr>
                <w:sz w:val="22"/>
                <w:szCs w:val="22"/>
                <w:lang w:val="ru-RU"/>
              </w:rPr>
              <w:t>/инфраструктуры для реализации проекта</w:t>
            </w:r>
          </w:p>
        </w:tc>
        <w:tc>
          <w:tcPr>
            <w:tcW w:w="506" w:type="pct"/>
            <w:vAlign w:val="center"/>
          </w:tcPr>
          <w:p w14:paraId="6C103095" w14:textId="6C883191" w:rsidR="008B105F" w:rsidRPr="007D792C" w:rsidRDefault="00E673E7" w:rsidP="00E90CBA">
            <w:pPr>
              <w:jc w:val="center"/>
              <w:rPr>
                <w:sz w:val="22"/>
                <w:szCs w:val="22"/>
                <w:lang w:val="ru-RU"/>
              </w:rPr>
            </w:pPr>
            <w:r w:rsidRPr="007D792C">
              <w:rPr>
                <w:sz w:val="22"/>
                <w:szCs w:val="22"/>
                <w:lang w:val="ru-RU"/>
              </w:rPr>
              <w:t>15%</w:t>
            </w:r>
          </w:p>
        </w:tc>
      </w:tr>
      <w:tr w:rsidR="00E673E7" w:rsidRPr="007D792C" w14:paraId="2653DAA2" w14:textId="77777777" w:rsidTr="00E673E7">
        <w:trPr>
          <w:trHeight w:val="369"/>
          <w:jc w:val="center"/>
        </w:trPr>
        <w:tc>
          <w:tcPr>
            <w:tcW w:w="4494" w:type="pct"/>
            <w:gridSpan w:val="2"/>
            <w:shd w:val="clear" w:color="auto" w:fill="E7E6E6" w:themeFill="background2"/>
            <w:vAlign w:val="center"/>
          </w:tcPr>
          <w:p w14:paraId="5376C611" w14:textId="3F02182D" w:rsidR="00E673E7" w:rsidRPr="007D792C" w:rsidRDefault="00E673E7" w:rsidP="00897569">
            <w:pPr>
              <w:spacing w:line="276" w:lineRule="auto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TOTAL:</w:t>
            </w:r>
          </w:p>
        </w:tc>
        <w:tc>
          <w:tcPr>
            <w:tcW w:w="506" w:type="pct"/>
            <w:shd w:val="clear" w:color="auto" w:fill="E7E6E6" w:themeFill="background2"/>
            <w:vAlign w:val="center"/>
          </w:tcPr>
          <w:p w14:paraId="6D671314" w14:textId="77777777" w:rsidR="00E673E7" w:rsidRPr="007D792C" w:rsidRDefault="00E673E7" w:rsidP="00E90CB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100%</w:t>
            </w:r>
          </w:p>
        </w:tc>
      </w:tr>
    </w:tbl>
    <w:p w14:paraId="76AD09D4" w14:textId="187A7B49" w:rsidR="001E4813" w:rsidRPr="007D792C" w:rsidRDefault="001227BA" w:rsidP="00714CC0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14" w:name="_Toc11157424"/>
      <w:bookmarkStart w:id="15" w:name="_Toc173846504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проце</w:t>
      </w:r>
      <w:r w:rsidR="00B83DD7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дура подачи зая</w:t>
      </w:r>
      <w:r w:rsidR="001D645B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вки</w:t>
      </w:r>
      <w:bookmarkEnd w:id="14"/>
      <w:bookmarkEnd w:id="15"/>
    </w:p>
    <w:p w14:paraId="6F8B3967" w14:textId="77777777" w:rsidR="0046332F" w:rsidRPr="007D792C" w:rsidRDefault="0046332F" w:rsidP="0046332F">
      <w:pPr>
        <w:rPr>
          <w:lang w:val="ru-RU"/>
        </w:rPr>
      </w:pPr>
    </w:p>
    <w:p w14:paraId="3F705A68" w14:textId="1F23DC9E" w:rsidR="00380AA8" w:rsidRPr="007D792C" w:rsidRDefault="00C811CA" w:rsidP="00A06AC3">
      <w:pPr>
        <w:spacing w:line="276" w:lineRule="auto"/>
        <w:jc w:val="both"/>
        <w:rPr>
          <w:rFonts w:eastAsia="Batang"/>
          <w:b/>
          <w:smallCaps/>
          <w:snapToGrid/>
          <w:szCs w:val="24"/>
          <w:lang w:val="ru-RU" w:eastAsia="ko-KR"/>
        </w:rPr>
      </w:pPr>
      <w:r>
        <w:rPr>
          <w:rFonts w:eastAsia="Batang"/>
          <w:snapToGrid/>
          <w:szCs w:val="24"/>
          <w:lang w:val="ru-RU" w:eastAsia="ko-KR"/>
        </w:rPr>
        <w:t>Заявители</w:t>
      </w:r>
      <w:r w:rsidRPr="007D792C">
        <w:rPr>
          <w:rFonts w:eastAsia="Batang"/>
          <w:snapToGrid/>
          <w:szCs w:val="24"/>
          <w:lang w:val="ru-RU" w:eastAsia="ko-KR"/>
        </w:rPr>
        <w:t xml:space="preserve"> </w:t>
      </w:r>
      <w:r w:rsidR="00C76B50" w:rsidRPr="007D792C">
        <w:rPr>
          <w:rFonts w:eastAsia="Batang"/>
          <w:snapToGrid/>
          <w:szCs w:val="24"/>
          <w:lang w:val="ru-RU" w:eastAsia="ko-KR"/>
        </w:rPr>
        <w:t>предоставляют следующий пакет документов на одном из следующих языков: румынском, русском или английском</w:t>
      </w:r>
      <w:r w:rsidR="001E4813" w:rsidRPr="007D792C">
        <w:rPr>
          <w:rFonts w:eastAsia="Batang"/>
          <w:snapToGrid/>
          <w:szCs w:val="24"/>
          <w:lang w:val="ru-RU" w:eastAsia="ko-KR"/>
        </w:rPr>
        <w:t xml:space="preserve">: </w:t>
      </w:r>
    </w:p>
    <w:p w14:paraId="5C97D185" w14:textId="71D69567" w:rsidR="003C15B5" w:rsidRPr="007D792C" w:rsidRDefault="00695AD9" w:rsidP="00A06AC3">
      <w:pPr>
        <w:pStyle w:val="Listparagraf"/>
        <w:numPr>
          <w:ilvl w:val="0"/>
          <w:numId w:val="12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Формуляр заявки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28697E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в соответствии</w:t>
      </w:r>
      <w:r w:rsidR="00DA2E00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с </w:t>
      </w:r>
      <w:r w:rsidR="008120C1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формой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 приведенной в Приложении 1</w:t>
      </w:r>
      <w:r w:rsidR="00F903B9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F903B9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подписанн</w:t>
      </w:r>
      <w:r w:rsidR="00F903B9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ый</w:t>
      </w:r>
      <w:r w:rsidR="00F903B9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представителем заявителя</w:t>
      </w:r>
      <w:r w:rsidR="003C15B5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5CEF435D" w14:textId="77777777" w:rsidR="00664A51" w:rsidRPr="007D792C" w:rsidRDefault="002954EB" w:rsidP="00664A51">
      <w:pPr>
        <w:pStyle w:val="Listparagraf"/>
        <w:numPr>
          <w:ilvl w:val="0"/>
          <w:numId w:val="12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Описание проекта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 согласно формуляру (Приложение 2)</w:t>
      </w:r>
      <w:r w:rsidR="007A4A4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37FD3C19" w14:textId="4E53F65F" w:rsidR="003C15B5" w:rsidRPr="007D792C" w:rsidRDefault="00664A51" w:rsidP="00664A51">
      <w:pPr>
        <w:pStyle w:val="Listparagraf"/>
        <w:numPr>
          <w:ilvl w:val="0"/>
          <w:numId w:val="12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Бюджет проекта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(Приложение 3).</w:t>
      </w:r>
    </w:p>
    <w:p w14:paraId="504B3371" w14:textId="16AF31F8" w:rsidR="00627415" w:rsidRPr="007D792C" w:rsidRDefault="00D87CDE" w:rsidP="00A06AC3">
      <w:pPr>
        <w:pStyle w:val="Listparagraf"/>
        <w:numPr>
          <w:ilvl w:val="0"/>
          <w:numId w:val="12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 xml:space="preserve">Копия </w:t>
      </w:r>
      <w:r w:rsidR="00164C83"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регистрационного</w:t>
      </w: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 xml:space="preserve"> свидетельства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0C63A9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или </w:t>
      </w:r>
      <w:r w:rsidR="000C63A9" w:rsidRPr="007D792C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Выписка</w:t>
      </w:r>
      <w:r w:rsidR="000C63A9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, выданная Агентством </w:t>
      </w:r>
      <w:r w:rsidR="0072073A" w:rsidRPr="007D792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36A01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убличных </w:t>
      </w:r>
      <w:r w:rsidR="000C63A9" w:rsidRPr="007D792C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B4777B"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6A3CD5" w14:textId="1AB92A55" w:rsidR="00176B3B" w:rsidRPr="007D792C" w:rsidRDefault="00236A01" w:rsidP="00A06AC3">
      <w:pPr>
        <w:pStyle w:val="Listparagraf"/>
        <w:numPr>
          <w:ilvl w:val="0"/>
          <w:numId w:val="12"/>
        </w:numPr>
        <w:spacing w:before="240"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>Резюме лиц (из числа сотрудников НПО и, при необходимости, внешних разработчиков), которые будут участвовать в реализации проекта</w:t>
      </w:r>
      <w:r w:rsidR="00AE66ED"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25CF51" w14:textId="0ABB2134" w:rsidR="000F3419" w:rsidRPr="007D792C" w:rsidRDefault="00236A01" w:rsidP="00A06AC3">
      <w:pPr>
        <w:pStyle w:val="Listparagraf"/>
        <w:numPr>
          <w:ilvl w:val="0"/>
          <w:numId w:val="12"/>
        </w:numPr>
        <w:spacing w:before="240"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Декларация о </w:t>
      </w:r>
      <w:r w:rsidR="00E86DEC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доступности 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>ключевых лиц в реализации проекта в соответствии с Приложением 4</w:t>
      </w:r>
      <w:r w:rsidR="001C76EB"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091C51" w14:textId="53A034BC" w:rsidR="00F169EF" w:rsidRPr="007D792C" w:rsidRDefault="00B56B9F" w:rsidP="00A06AC3">
      <w:pPr>
        <w:tabs>
          <w:tab w:val="left" w:pos="426"/>
        </w:tabs>
        <w:spacing w:before="240" w:line="276" w:lineRule="auto"/>
        <w:jc w:val="both"/>
        <w:rPr>
          <w:rFonts w:eastAsia="Arial"/>
          <w:color w:val="0563C1"/>
          <w:szCs w:val="24"/>
          <w:u w:val="single"/>
          <w:lang w:val="ru-RU"/>
        </w:rPr>
      </w:pPr>
      <w:r w:rsidRPr="007D792C">
        <w:rPr>
          <w:rFonts w:eastAsia="Arial"/>
          <w:szCs w:val="24"/>
          <w:lang w:val="ru-RU"/>
        </w:rPr>
        <w:t xml:space="preserve">Форма заявки и приложения к ней размещены на сайте ПРООН в Молдове </w:t>
      </w:r>
      <w:r w:rsidR="00F169EF" w:rsidRPr="007D792C">
        <w:rPr>
          <w:szCs w:val="24"/>
          <w:lang w:val="ru-RU"/>
        </w:rPr>
        <w:t>(</w:t>
      </w:r>
      <w:hyperlink r:id="rId11">
        <w:r w:rsidR="00F169EF" w:rsidRPr="007D792C">
          <w:rPr>
            <w:rStyle w:val="Hyperlink"/>
            <w:szCs w:val="24"/>
            <w:lang w:val="ru-RU"/>
          </w:rPr>
          <w:t>https://sc.undp.md/viewtenders2/</w:t>
        </w:r>
      </w:hyperlink>
      <w:r w:rsidR="00F169EF" w:rsidRPr="007D792C">
        <w:rPr>
          <w:szCs w:val="24"/>
          <w:lang w:val="ru-RU"/>
        </w:rPr>
        <w:t xml:space="preserve">). </w:t>
      </w:r>
      <w:r w:rsidR="00F94189" w:rsidRPr="007D792C">
        <w:rPr>
          <w:rFonts w:eastAsia="Arial"/>
          <w:szCs w:val="24"/>
          <w:lang w:val="ru-RU"/>
        </w:rPr>
        <w:t>Эти документы также можно получить, направив запрос на имя Марчела Блануца, по следующему адресу электронной почты</w:t>
      </w:r>
      <w:r w:rsidR="00F169EF" w:rsidRPr="007D792C">
        <w:rPr>
          <w:rFonts w:eastAsia="Arial"/>
          <w:szCs w:val="24"/>
          <w:lang w:val="ru-RU"/>
        </w:rPr>
        <w:t xml:space="preserve">: </w:t>
      </w:r>
      <w:hyperlink r:id="rId12" w:history="1">
        <w:r w:rsidR="00C23C7B" w:rsidRPr="007D792C">
          <w:rPr>
            <w:rStyle w:val="Hyperlink"/>
            <w:rFonts w:eastAsia="Arial"/>
            <w:szCs w:val="24"/>
            <w:lang w:val="ru-RU"/>
          </w:rPr>
          <w:t>marcel.blanuta@undp.org</w:t>
        </w:r>
      </w:hyperlink>
      <w:r w:rsidR="00F169EF" w:rsidRPr="007D792C">
        <w:rPr>
          <w:rFonts w:eastAsia="Arial"/>
          <w:szCs w:val="24"/>
          <w:lang w:val="ru-RU"/>
        </w:rPr>
        <w:t xml:space="preserve">. </w:t>
      </w:r>
    </w:p>
    <w:p w14:paraId="524EDC33" w14:textId="49BEAD2A" w:rsidR="00F169EF" w:rsidRPr="007D792C" w:rsidRDefault="00CD5FF1" w:rsidP="00A06AC3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szCs w:val="24"/>
          <w:u w:val="single"/>
          <w:lang w:val="ru-RU"/>
        </w:rPr>
      </w:pPr>
      <w:r w:rsidRPr="007D792C">
        <w:rPr>
          <w:rFonts w:eastAsia="Arial"/>
          <w:szCs w:val="24"/>
          <w:lang w:val="ru-RU"/>
        </w:rPr>
        <w:t>Файл заявки будет отправлен в электронном формате по электронной почте на адрес</w:t>
      </w:r>
      <w:r w:rsidR="00F169EF" w:rsidRPr="007D792C">
        <w:rPr>
          <w:rFonts w:eastAsia="Arial"/>
          <w:szCs w:val="24"/>
          <w:lang w:val="ru-RU"/>
        </w:rPr>
        <w:t xml:space="preserve"> </w:t>
      </w:r>
      <w:hyperlink r:id="rId13" w:history="1">
        <w:r w:rsidR="00F169EF" w:rsidRPr="007D792C">
          <w:rPr>
            <w:rStyle w:val="Hyperlink"/>
            <w:rFonts w:eastAsia="Arial"/>
            <w:szCs w:val="24"/>
            <w:lang w:val="ru-RU"/>
          </w:rPr>
          <w:t>marcel.blanuta@undp.org</w:t>
        </w:r>
      </w:hyperlink>
      <w:r w:rsidR="00F169EF" w:rsidRPr="007D792C">
        <w:rPr>
          <w:rFonts w:eastAsia="Arial"/>
          <w:szCs w:val="24"/>
          <w:lang w:val="ru-RU"/>
        </w:rPr>
        <w:t xml:space="preserve">. </w:t>
      </w:r>
      <w:r w:rsidR="001139CC" w:rsidRPr="007D792C">
        <w:rPr>
          <w:rFonts w:eastAsia="Arial"/>
          <w:szCs w:val="24"/>
          <w:lang w:val="ru-RU"/>
        </w:rPr>
        <w:t xml:space="preserve">Крайний срок подачи заявок </w:t>
      </w:r>
      <w:r w:rsidR="00465E49" w:rsidRPr="00465E49">
        <w:rPr>
          <w:rFonts w:eastAsia="Arial"/>
          <w:b/>
          <w:bCs/>
          <w:szCs w:val="24"/>
          <w:lang w:val="ru-RU"/>
        </w:rPr>
        <w:t>4</w:t>
      </w:r>
      <w:r w:rsidR="004B7B64" w:rsidRPr="00E437A2">
        <w:rPr>
          <w:rFonts w:eastAsia="Arial"/>
          <w:b/>
          <w:bCs/>
          <w:szCs w:val="24"/>
          <w:lang w:val="ru-RU"/>
        </w:rPr>
        <w:t xml:space="preserve"> </w:t>
      </w:r>
      <w:r w:rsidR="00465E49">
        <w:rPr>
          <w:rFonts w:eastAsia="Arial"/>
          <w:b/>
          <w:bCs/>
          <w:szCs w:val="24"/>
          <w:lang w:val="ru-RU"/>
        </w:rPr>
        <w:t>октября</w:t>
      </w:r>
      <w:r w:rsidR="00F169EF" w:rsidRPr="00E437A2">
        <w:rPr>
          <w:rFonts w:eastAsia="Arial"/>
          <w:b/>
          <w:bCs/>
          <w:szCs w:val="24"/>
          <w:lang w:val="ru-RU"/>
        </w:rPr>
        <w:t xml:space="preserve"> 2024</w:t>
      </w:r>
      <w:r w:rsidR="00F46386">
        <w:rPr>
          <w:rFonts w:eastAsia="Arial"/>
          <w:szCs w:val="24"/>
          <w:lang w:val="ru-RU"/>
        </w:rPr>
        <w:t xml:space="preserve"> г.</w:t>
      </w:r>
      <w:r w:rsidR="00F169EF" w:rsidRPr="007D792C">
        <w:rPr>
          <w:rFonts w:eastAsia="Arial"/>
          <w:szCs w:val="24"/>
          <w:lang w:val="ru-RU"/>
        </w:rPr>
        <w:t xml:space="preserve">, </w:t>
      </w:r>
      <w:r w:rsidR="00C40B5F">
        <w:rPr>
          <w:rFonts w:eastAsia="Arial"/>
          <w:szCs w:val="24"/>
          <w:lang w:val="ru-RU"/>
        </w:rPr>
        <w:t>16</w:t>
      </w:r>
      <w:r w:rsidR="00F169EF" w:rsidRPr="007D792C">
        <w:rPr>
          <w:rFonts w:eastAsia="Arial"/>
          <w:szCs w:val="24"/>
          <w:lang w:val="ru-RU"/>
        </w:rPr>
        <w:t>:</w:t>
      </w:r>
      <w:r w:rsidR="00C40B5F">
        <w:rPr>
          <w:rFonts w:eastAsia="Arial"/>
          <w:szCs w:val="24"/>
          <w:lang w:val="ru-RU"/>
        </w:rPr>
        <w:t>3</w:t>
      </w:r>
      <w:r w:rsidR="00F169EF" w:rsidRPr="007D792C">
        <w:rPr>
          <w:rFonts w:eastAsia="Arial"/>
          <w:szCs w:val="24"/>
          <w:lang w:val="ru-RU"/>
        </w:rPr>
        <w:t xml:space="preserve">0. </w:t>
      </w:r>
      <w:r w:rsidR="00B24BFC" w:rsidRPr="007D792C">
        <w:rPr>
          <w:rFonts w:eastAsia="Arial"/>
          <w:szCs w:val="24"/>
          <w:lang w:val="ru-RU"/>
        </w:rPr>
        <w:t>Тема сообщения</w:t>
      </w:r>
      <w:r w:rsidR="005603B8">
        <w:rPr>
          <w:rFonts w:eastAsia="Arial"/>
          <w:szCs w:val="24"/>
          <w:lang w:val="ro-RO"/>
        </w:rPr>
        <w:t xml:space="preserve"> </w:t>
      </w:r>
      <w:r w:rsidR="003E628A" w:rsidRPr="00F46386">
        <w:rPr>
          <w:rFonts w:eastAsia="Arial"/>
          <w:szCs w:val="24"/>
          <w:lang w:val="ru-MD"/>
        </w:rPr>
        <w:t>“</w:t>
      </w:r>
      <w:bookmarkStart w:id="16" w:name="_Hlk171517747"/>
      <w:r w:rsidR="00176B3B" w:rsidRPr="007D792C">
        <w:rPr>
          <w:rFonts w:eastAsia="Arial"/>
          <w:szCs w:val="24"/>
          <w:lang w:val="ru-RU"/>
        </w:rPr>
        <w:t>Digital solution development</w:t>
      </w:r>
      <w:bookmarkEnd w:id="16"/>
      <w:r w:rsidR="00176B3B" w:rsidRPr="007D792C">
        <w:rPr>
          <w:rFonts w:eastAsia="Arial"/>
          <w:szCs w:val="24"/>
          <w:lang w:val="ru-RU"/>
        </w:rPr>
        <w:t xml:space="preserve"> – </w:t>
      </w:r>
      <w:r w:rsidR="00831A8B" w:rsidRPr="007D792C">
        <w:rPr>
          <w:rFonts w:eastAsia="Arial"/>
          <w:szCs w:val="24"/>
          <w:lang w:val="ru-RU"/>
        </w:rPr>
        <w:t>Название организации</w:t>
      </w:r>
      <w:r w:rsidR="00176B3B" w:rsidRPr="007D792C">
        <w:rPr>
          <w:rFonts w:eastAsia="Arial"/>
          <w:szCs w:val="24"/>
          <w:lang w:val="ru-RU"/>
        </w:rPr>
        <w:t>”</w:t>
      </w:r>
      <w:r w:rsidR="00F169EF" w:rsidRPr="007D792C">
        <w:rPr>
          <w:rFonts w:eastAsia="Arial"/>
          <w:szCs w:val="24"/>
          <w:lang w:val="ru-RU"/>
        </w:rPr>
        <w:t xml:space="preserve">. </w:t>
      </w:r>
      <w:r w:rsidR="007818A3" w:rsidRPr="007D792C">
        <w:rPr>
          <w:rFonts w:eastAsia="Arial"/>
          <w:szCs w:val="24"/>
          <w:lang w:val="ru-RU"/>
        </w:rPr>
        <w:t>Документы в пакете должны быть в формате PDF, за исключением бюджета, который будет представлен в формате Excel</w:t>
      </w:r>
      <w:r w:rsidR="00F169EF" w:rsidRPr="007D792C">
        <w:rPr>
          <w:rFonts w:eastAsia="Arial"/>
          <w:szCs w:val="24"/>
          <w:lang w:val="ru-RU"/>
        </w:rPr>
        <w:t>.</w:t>
      </w:r>
    </w:p>
    <w:p w14:paraId="624D7C1D" w14:textId="3A125AD8" w:rsidR="00627415" w:rsidRPr="007D792C" w:rsidRDefault="00FD178F" w:rsidP="00A06AC3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szCs w:val="24"/>
          <w:lang w:val="ru-RU"/>
        </w:rPr>
      </w:pPr>
      <w:r w:rsidRPr="007D792C">
        <w:rPr>
          <w:rFonts w:eastAsia="Arial"/>
          <w:szCs w:val="24"/>
          <w:lang w:val="ru-RU"/>
        </w:rPr>
        <w:t>Заявки, поданные любым другим способом, будут отклонены. Неполные досье или досье, поданные после установленного срока, рассматриваться не будут. Размер заявки, отправленной по электронной почте, не должен превышать 20 МБ</w:t>
      </w:r>
      <w:r w:rsidR="00F169EF" w:rsidRPr="007D792C">
        <w:rPr>
          <w:rFonts w:eastAsia="Arial"/>
          <w:szCs w:val="24"/>
          <w:lang w:val="ru-RU"/>
        </w:rPr>
        <w:t xml:space="preserve">. </w:t>
      </w:r>
      <w:r w:rsidR="007B5656" w:rsidRPr="007D792C">
        <w:rPr>
          <w:rFonts w:eastAsia="Arial"/>
          <w:szCs w:val="24"/>
          <w:lang w:val="ru-RU"/>
        </w:rPr>
        <w:t>Заявки размером более 20 МБ будут разбиты на несколько сообщений, и в заголовке каждого сообщения, помимо</w:t>
      </w:r>
      <w:r w:rsidR="00F169EF" w:rsidRPr="007D792C">
        <w:rPr>
          <w:rFonts w:eastAsia="Arial"/>
          <w:szCs w:val="24"/>
          <w:lang w:val="ru-RU"/>
        </w:rPr>
        <w:t xml:space="preserve"> </w:t>
      </w:r>
      <w:r w:rsidR="0034745D" w:rsidRPr="00F46386">
        <w:rPr>
          <w:rFonts w:eastAsia="Arial"/>
          <w:szCs w:val="24"/>
          <w:lang w:val="ru-MD"/>
        </w:rPr>
        <w:t>“</w:t>
      </w:r>
      <w:r w:rsidR="00176B3B" w:rsidRPr="007D792C">
        <w:rPr>
          <w:rFonts w:eastAsia="Arial"/>
          <w:szCs w:val="24"/>
          <w:lang w:val="ru-RU"/>
        </w:rPr>
        <w:t xml:space="preserve">Digital solution development – </w:t>
      </w:r>
      <w:r w:rsidR="007B5656" w:rsidRPr="007D792C">
        <w:rPr>
          <w:rFonts w:eastAsia="Arial"/>
          <w:i/>
          <w:iCs/>
          <w:szCs w:val="24"/>
          <w:lang w:val="ru-RU"/>
        </w:rPr>
        <w:t>Название организации</w:t>
      </w:r>
      <w:r w:rsidR="00176B3B" w:rsidRPr="007D792C">
        <w:rPr>
          <w:rFonts w:eastAsia="Arial"/>
          <w:szCs w:val="24"/>
          <w:lang w:val="ru-RU"/>
        </w:rPr>
        <w:t>”</w:t>
      </w:r>
      <w:r w:rsidR="00F169EF" w:rsidRPr="007D792C">
        <w:rPr>
          <w:rFonts w:eastAsia="Arial"/>
          <w:szCs w:val="24"/>
          <w:lang w:val="ru-RU"/>
        </w:rPr>
        <w:t xml:space="preserve">, </w:t>
      </w:r>
      <w:r w:rsidR="00E0055A" w:rsidRPr="007D792C">
        <w:rPr>
          <w:rFonts w:eastAsia="Arial"/>
          <w:szCs w:val="24"/>
          <w:lang w:val="ru-RU"/>
        </w:rPr>
        <w:t xml:space="preserve">должно быть указано </w:t>
      </w:r>
      <w:r w:rsidR="0034745D" w:rsidRPr="00F46386">
        <w:rPr>
          <w:rFonts w:eastAsia="Arial"/>
          <w:szCs w:val="24"/>
          <w:lang w:val="ru-MD"/>
        </w:rPr>
        <w:t>“</w:t>
      </w:r>
      <w:r w:rsidR="00E0055A" w:rsidRPr="007D792C">
        <w:rPr>
          <w:rFonts w:eastAsia="Arial"/>
          <w:szCs w:val="24"/>
          <w:lang w:val="ru-RU"/>
        </w:rPr>
        <w:t xml:space="preserve">part x </w:t>
      </w:r>
      <w:r w:rsidR="0034745D">
        <w:rPr>
          <w:rFonts w:eastAsia="Arial"/>
          <w:szCs w:val="24"/>
          <w:lang w:val="en-US"/>
        </w:rPr>
        <w:t>of</w:t>
      </w:r>
      <w:r w:rsidR="0034745D" w:rsidRPr="007D792C">
        <w:rPr>
          <w:rFonts w:eastAsia="Arial"/>
          <w:szCs w:val="24"/>
          <w:lang w:val="ru-RU"/>
        </w:rPr>
        <w:t xml:space="preserve"> </w:t>
      </w:r>
      <w:r w:rsidR="00E0055A" w:rsidRPr="007D792C">
        <w:rPr>
          <w:rFonts w:eastAsia="Arial"/>
          <w:szCs w:val="24"/>
          <w:lang w:val="ru-RU"/>
        </w:rPr>
        <w:t>y</w:t>
      </w:r>
      <w:r w:rsidR="00F169EF" w:rsidRPr="007D792C">
        <w:rPr>
          <w:rFonts w:eastAsia="Arial"/>
          <w:szCs w:val="24"/>
          <w:lang w:val="ru-RU"/>
        </w:rPr>
        <w:t xml:space="preserve">”. </w:t>
      </w:r>
      <w:r w:rsidR="00B01C4C" w:rsidRPr="007D792C">
        <w:rPr>
          <w:rFonts w:eastAsia="Arial"/>
          <w:szCs w:val="24"/>
          <w:lang w:val="ru-RU"/>
        </w:rPr>
        <w:t xml:space="preserve">Например, если досье будет отправлено с помощью трех сообщений, то первое сообщение будет иметь заголовок </w:t>
      </w:r>
      <w:r w:rsidR="00B30079" w:rsidRPr="00F46386">
        <w:rPr>
          <w:rFonts w:eastAsia="Arial"/>
          <w:szCs w:val="24"/>
          <w:lang w:val="ru-MD"/>
        </w:rPr>
        <w:t>“</w:t>
      </w:r>
      <w:r w:rsidR="00B01C4C" w:rsidRPr="007D792C">
        <w:rPr>
          <w:rFonts w:eastAsia="Arial"/>
          <w:szCs w:val="24"/>
          <w:lang w:val="ru-RU"/>
        </w:rPr>
        <w:t xml:space="preserve">Digital solution development </w:t>
      </w:r>
      <w:r w:rsidR="0095058D" w:rsidRPr="007D792C">
        <w:rPr>
          <w:rFonts w:eastAsia="Arial"/>
          <w:szCs w:val="24"/>
          <w:lang w:val="ru-RU"/>
        </w:rPr>
        <w:t xml:space="preserve">part </w:t>
      </w:r>
      <w:r w:rsidR="00B01C4C" w:rsidRPr="007D792C">
        <w:rPr>
          <w:rFonts w:eastAsia="Arial"/>
          <w:szCs w:val="24"/>
          <w:lang w:val="ru-RU"/>
        </w:rPr>
        <w:t xml:space="preserve">1 </w:t>
      </w:r>
      <w:r w:rsidR="00B30079">
        <w:rPr>
          <w:rFonts w:eastAsia="Arial"/>
          <w:szCs w:val="24"/>
          <w:lang w:val="en-US"/>
        </w:rPr>
        <w:t>of</w:t>
      </w:r>
      <w:r w:rsidR="00B30079" w:rsidRPr="00F46386">
        <w:rPr>
          <w:rFonts w:eastAsia="Arial"/>
          <w:szCs w:val="24"/>
          <w:lang w:val="ru-MD"/>
        </w:rPr>
        <w:t xml:space="preserve"> </w:t>
      </w:r>
      <w:r w:rsidR="00B01C4C" w:rsidRPr="007D792C">
        <w:rPr>
          <w:rFonts w:eastAsia="Arial"/>
          <w:szCs w:val="24"/>
          <w:lang w:val="ru-RU"/>
        </w:rPr>
        <w:t xml:space="preserve">3 - Название организации”, а последнее – </w:t>
      </w:r>
      <w:r w:rsidR="00B30079" w:rsidRPr="00F46386">
        <w:rPr>
          <w:rFonts w:eastAsia="Arial"/>
          <w:szCs w:val="24"/>
          <w:lang w:val="ru-MD"/>
        </w:rPr>
        <w:t>“</w:t>
      </w:r>
      <w:r w:rsidR="00B01C4C" w:rsidRPr="007D792C">
        <w:rPr>
          <w:rFonts w:eastAsia="Arial"/>
          <w:szCs w:val="24"/>
          <w:lang w:val="ru-RU"/>
        </w:rPr>
        <w:t xml:space="preserve">Digital solution development </w:t>
      </w:r>
      <w:r w:rsidR="003E628A" w:rsidRPr="007D792C">
        <w:rPr>
          <w:rFonts w:eastAsia="Arial"/>
          <w:szCs w:val="24"/>
          <w:lang w:val="ru-RU"/>
        </w:rPr>
        <w:t xml:space="preserve">part </w:t>
      </w:r>
      <w:r w:rsidR="00B01C4C" w:rsidRPr="007D792C">
        <w:rPr>
          <w:rFonts w:eastAsia="Arial"/>
          <w:szCs w:val="24"/>
          <w:lang w:val="ru-RU"/>
        </w:rPr>
        <w:t xml:space="preserve">3 </w:t>
      </w:r>
      <w:r w:rsidR="00024040">
        <w:rPr>
          <w:rFonts w:eastAsia="Arial"/>
          <w:szCs w:val="24"/>
          <w:lang w:val="en-US"/>
        </w:rPr>
        <w:t>of</w:t>
      </w:r>
      <w:r w:rsidR="00024040" w:rsidRPr="007D792C">
        <w:rPr>
          <w:rFonts w:eastAsia="Arial"/>
          <w:szCs w:val="24"/>
          <w:lang w:val="ru-RU"/>
        </w:rPr>
        <w:t xml:space="preserve"> </w:t>
      </w:r>
      <w:r w:rsidR="00B01C4C" w:rsidRPr="007D792C">
        <w:rPr>
          <w:rFonts w:eastAsia="Arial"/>
          <w:szCs w:val="24"/>
          <w:lang w:val="ru-RU"/>
        </w:rPr>
        <w:t>3 - Название организации”</w:t>
      </w:r>
      <w:r w:rsidR="00F169EF" w:rsidRPr="007D792C">
        <w:rPr>
          <w:rFonts w:eastAsia="Arial"/>
          <w:szCs w:val="24"/>
          <w:lang w:val="ru-RU"/>
        </w:rPr>
        <w:t>.</w:t>
      </w:r>
    </w:p>
    <w:p w14:paraId="48B7A5A2" w14:textId="25F66329" w:rsidR="00F169EF" w:rsidRPr="007D792C" w:rsidRDefault="00B05ABF" w:rsidP="00A06AC3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szCs w:val="24"/>
          <w:lang w:val="ru-RU"/>
        </w:rPr>
      </w:pPr>
      <w:r w:rsidRPr="007D792C">
        <w:rPr>
          <w:rFonts w:eastAsia="Arial"/>
          <w:szCs w:val="24"/>
          <w:lang w:val="ru-RU"/>
        </w:rPr>
        <w:t>Запросы для разъяснений по заявке можно направлять на адрес электронной почты</w:t>
      </w:r>
      <w:r w:rsidR="00F169EF" w:rsidRPr="007D792C">
        <w:rPr>
          <w:rFonts w:eastAsia="Arial"/>
          <w:szCs w:val="24"/>
          <w:lang w:val="ru-RU"/>
        </w:rPr>
        <w:t xml:space="preserve">: </w:t>
      </w:r>
      <w:hyperlink r:id="rId14" w:history="1">
        <w:r w:rsidR="00F169EF" w:rsidRPr="007D792C">
          <w:rPr>
            <w:rStyle w:val="Hyperlink"/>
            <w:rFonts w:eastAsia="Arial"/>
            <w:szCs w:val="24"/>
            <w:lang w:val="ru-RU"/>
          </w:rPr>
          <w:t>marcel.blanuta@undp.org</w:t>
        </w:r>
      </w:hyperlink>
      <w:r w:rsidR="00F169EF" w:rsidRPr="007D792C">
        <w:rPr>
          <w:rFonts w:eastAsia="Arial"/>
          <w:szCs w:val="24"/>
          <w:lang w:val="ru-RU"/>
        </w:rPr>
        <w:t xml:space="preserve">. </w:t>
      </w:r>
    </w:p>
    <w:p w14:paraId="4A5D746D" w14:textId="43BE8B1D" w:rsidR="00176B3B" w:rsidRPr="007D792C" w:rsidRDefault="00FC25AE" w:rsidP="00176B3B">
      <w:pPr>
        <w:pStyle w:val="Titlu1"/>
        <w:numPr>
          <w:ilvl w:val="0"/>
          <w:numId w:val="1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17" w:name="_Toc171004986"/>
      <w:bookmarkStart w:id="18" w:name="_Toc173846505"/>
      <w:bookmarkEnd w:id="0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процедура оценки и отбора</w:t>
      </w:r>
      <w:bookmarkEnd w:id="17"/>
      <w:bookmarkEnd w:id="18"/>
    </w:p>
    <w:p w14:paraId="1BC012A9" w14:textId="216AECAC" w:rsidR="00513770" w:rsidRPr="007D792C" w:rsidRDefault="00BE7D51" w:rsidP="00A06AC3">
      <w:pPr>
        <w:spacing w:before="240" w:line="276" w:lineRule="auto"/>
        <w:jc w:val="both"/>
        <w:rPr>
          <w:szCs w:val="24"/>
          <w:lang w:val="ru-RU"/>
        </w:rPr>
      </w:pPr>
      <w:r w:rsidRPr="007D792C">
        <w:rPr>
          <w:szCs w:val="24"/>
          <w:lang w:val="ru-RU"/>
        </w:rPr>
        <w:t>Проекты будут оцениваться комиссией по отбору проектов. Комиссия будет оценивать полученные заявки в два этапа</w:t>
      </w:r>
      <w:r w:rsidR="00B04146" w:rsidRPr="007D792C">
        <w:rPr>
          <w:szCs w:val="24"/>
          <w:lang w:val="ru-RU"/>
        </w:rPr>
        <w:t>:</w:t>
      </w:r>
    </w:p>
    <w:p w14:paraId="6C784D35" w14:textId="4A936094" w:rsidR="003F63C0" w:rsidRPr="007D792C" w:rsidRDefault="003F63C0" w:rsidP="003F63C0">
      <w:pPr>
        <w:spacing w:before="240" w:line="276" w:lineRule="auto"/>
        <w:jc w:val="both"/>
        <w:rPr>
          <w:b/>
          <w:bCs/>
          <w:szCs w:val="24"/>
          <w:lang w:val="ru-RU"/>
        </w:rPr>
      </w:pPr>
      <w:r w:rsidRPr="007D792C">
        <w:rPr>
          <w:b/>
          <w:bCs/>
          <w:szCs w:val="24"/>
          <w:lang w:val="ru-RU"/>
        </w:rPr>
        <w:lastRenderedPageBreak/>
        <w:t xml:space="preserve">Этап I: </w:t>
      </w:r>
      <w:r w:rsidRPr="007D792C">
        <w:rPr>
          <w:szCs w:val="24"/>
          <w:lang w:val="ru-RU"/>
        </w:rPr>
        <w:t xml:space="preserve">Проверка </w:t>
      </w:r>
      <w:r w:rsidR="00C66C2C">
        <w:rPr>
          <w:szCs w:val="24"/>
          <w:lang w:val="ru-RU"/>
        </w:rPr>
        <w:t xml:space="preserve">на </w:t>
      </w:r>
      <w:r w:rsidRPr="007D792C">
        <w:rPr>
          <w:szCs w:val="24"/>
          <w:lang w:val="ru-RU"/>
        </w:rPr>
        <w:t>соответстви</w:t>
      </w:r>
      <w:r w:rsidR="00C66C2C">
        <w:rPr>
          <w:szCs w:val="24"/>
          <w:lang w:val="ru-RU"/>
        </w:rPr>
        <w:t>е</w:t>
      </w:r>
      <w:r w:rsidRPr="007D792C">
        <w:rPr>
          <w:szCs w:val="24"/>
          <w:lang w:val="ru-RU"/>
        </w:rPr>
        <w:t xml:space="preserve"> заявки требованиям</w:t>
      </w:r>
      <w:r w:rsidR="00C66C2C">
        <w:rPr>
          <w:szCs w:val="24"/>
          <w:lang w:val="ru-RU"/>
        </w:rPr>
        <w:t xml:space="preserve"> конкурса</w:t>
      </w:r>
      <w:r w:rsidRPr="007D792C">
        <w:rPr>
          <w:szCs w:val="24"/>
          <w:lang w:val="ru-RU"/>
        </w:rPr>
        <w:t xml:space="preserve">. Этот этап включает в себя, но не ограничивается: (а) </w:t>
      </w:r>
      <w:r w:rsidR="00C66C2C" w:rsidRPr="007D792C">
        <w:rPr>
          <w:szCs w:val="24"/>
          <w:lang w:val="ru-RU"/>
        </w:rPr>
        <w:t>проверк</w:t>
      </w:r>
      <w:r w:rsidR="00C66C2C">
        <w:rPr>
          <w:szCs w:val="24"/>
          <w:lang w:val="ru-RU"/>
        </w:rPr>
        <w:t>ой</w:t>
      </w:r>
      <w:r w:rsidR="00C66C2C" w:rsidRPr="007D792C">
        <w:rPr>
          <w:szCs w:val="24"/>
          <w:lang w:val="ru-RU"/>
        </w:rPr>
        <w:t xml:space="preserve"> </w:t>
      </w:r>
      <w:r w:rsidRPr="007D792C">
        <w:rPr>
          <w:szCs w:val="24"/>
          <w:lang w:val="ru-RU"/>
        </w:rPr>
        <w:t xml:space="preserve">соответствия проекта вышеуказанным критериям; (б) </w:t>
      </w:r>
      <w:r w:rsidR="00436514">
        <w:rPr>
          <w:szCs w:val="24"/>
          <w:lang w:val="ru-RU"/>
        </w:rPr>
        <w:t>комплектность</w:t>
      </w:r>
      <w:r w:rsidR="00436514" w:rsidRPr="007D792C">
        <w:rPr>
          <w:szCs w:val="24"/>
          <w:lang w:val="ru-RU"/>
        </w:rPr>
        <w:t xml:space="preserve"> </w:t>
      </w:r>
      <w:r w:rsidRPr="007D792C">
        <w:rPr>
          <w:szCs w:val="24"/>
          <w:lang w:val="ru-RU"/>
        </w:rPr>
        <w:t xml:space="preserve">заявки; (в) достоверность информации, представленной в заявке. Неполные, ошибочные или не отвечающие критериям приемлемости заявки будут исключены из конкурса. В конце </w:t>
      </w:r>
      <w:r w:rsidR="0060181F">
        <w:rPr>
          <w:szCs w:val="24"/>
          <w:lang w:val="ru-RU"/>
        </w:rPr>
        <w:t xml:space="preserve">данного этапа </w:t>
      </w:r>
      <w:r w:rsidRPr="007D792C">
        <w:rPr>
          <w:szCs w:val="24"/>
          <w:lang w:val="ru-RU"/>
        </w:rPr>
        <w:t>будет составлен список организаций, прошедших во второй этап, и объявлены те, кто был исключен</w:t>
      </w:r>
      <w:r w:rsidRPr="007D792C">
        <w:rPr>
          <w:b/>
          <w:bCs/>
          <w:szCs w:val="24"/>
          <w:lang w:val="ru-RU"/>
        </w:rPr>
        <w:t>.</w:t>
      </w:r>
    </w:p>
    <w:p w14:paraId="6B551112" w14:textId="5E36CB96" w:rsidR="00B04146" w:rsidRPr="007D792C" w:rsidRDefault="003F63C0" w:rsidP="003F63C0">
      <w:pPr>
        <w:spacing w:before="240" w:line="276" w:lineRule="auto"/>
        <w:jc w:val="both"/>
        <w:rPr>
          <w:szCs w:val="24"/>
          <w:lang w:val="ru-RU"/>
        </w:rPr>
      </w:pPr>
      <w:r w:rsidRPr="007D792C">
        <w:rPr>
          <w:b/>
          <w:bCs/>
          <w:szCs w:val="24"/>
          <w:lang w:val="ru-RU"/>
        </w:rPr>
        <w:t xml:space="preserve">Этап II: </w:t>
      </w:r>
      <w:r w:rsidRPr="007D792C">
        <w:rPr>
          <w:szCs w:val="24"/>
          <w:lang w:val="ru-RU"/>
        </w:rPr>
        <w:t>Оценка проектных предложений организаций, прошедших во второй этап. Оценка будет проводиться в соответствии с критериями оценки, указанными выше, с присвоением соответствующих баллов. Заявитель, набравший наибольшее количество баллов, будет объявлен победителем. По окончании конкурса организации, прошедшие в этот этап, будут уведомлены о решении оценочной комиссии</w:t>
      </w:r>
      <w:r w:rsidR="00B04146" w:rsidRPr="007D792C">
        <w:rPr>
          <w:rFonts w:eastAsia="Arial"/>
          <w:szCs w:val="24"/>
          <w:lang w:val="ru-RU"/>
        </w:rPr>
        <w:t>.</w:t>
      </w:r>
      <w:bookmarkEnd w:id="1"/>
    </w:p>
    <w:sectPr w:rsidR="00B04146" w:rsidRPr="007D792C" w:rsidSect="002338FD">
      <w:footerReference w:type="default" r:id="rId15"/>
      <w:headerReference w:type="first" r:id="rId16"/>
      <w:pgSz w:w="11906" w:h="16838"/>
      <w:pgMar w:top="720" w:right="850" w:bottom="900" w:left="117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27C8" w14:textId="77777777" w:rsidR="00AE1FAC" w:rsidRDefault="00AE1FAC" w:rsidP="0061194B">
      <w:r>
        <w:separator/>
      </w:r>
    </w:p>
  </w:endnote>
  <w:endnote w:type="continuationSeparator" w:id="0">
    <w:p w14:paraId="34B056FC" w14:textId="77777777" w:rsidR="00AE1FAC" w:rsidRDefault="00AE1FAC" w:rsidP="0061194B">
      <w:r>
        <w:continuationSeparator/>
      </w:r>
    </w:p>
  </w:endnote>
  <w:endnote w:type="continuationNotice" w:id="1">
    <w:p w14:paraId="36488773" w14:textId="77777777" w:rsidR="00AE1FAC" w:rsidRDefault="00AE1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404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BD451" w14:textId="37C934D8" w:rsidR="002338FD" w:rsidRDefault="002338F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A3A00" w14:textId="77777777" w:rsidR="002338FD" w:rsidRDefault="002338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6320" w14:textId="77777777" w:rsidR="00AE1FAC" w:rsidRDefault="00AE1FAC" w:rsidP="0061194B">
      <w:r>
        <w:separator/>
      </w:r>
    </w:p>
  </w:footnote>
  <w:footnote w:type="continuationSeparator" w:id="0">
    <w:p w14:paraId="5C15DECD" w14:textId="77777777" w:rsidR="00AE1FAC" w:rsidRDefault="00AE1FAC" w:rsidP="0061194B">
      <w:r>
        <w:continuationSeparator/>
      </w:r>
    </w:p>
  </w:footnote>
  <w:footnote w:type="continuationNotice" w:id="1">
    <w:p w14:paraId="04EC6F46" w14:textId="77777777" w:rsidR="00AE1FAC" w:rsidRDefault="00AE1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42" w:type="dxa"/>
      <w:tblLook w:val="04A0" w:firstRow="1" w:lastRow="0" w:firstColumn="1" w:lastColumn="0" w:noHBand="0" w:noVBand="1"/>
    </w:tblPr>
    <w:tblGrid>
      <w:gridCol w:w="3420"/>
      <w:gridCol w:w="4660"/>
      <w:gridCol w:w="1559"/>
    </w:tblGrid>
    <w:tr w:rsidR="00724C5A" w:rsidRPr="00710AE0" w14:paraId="5994F887" w14:textId="77777777" w:rsidTr="00C80089">
      <w:trPr>
        <w:trHeight w:val="2157"/>
      </w:trPr>
      <w:tc>
        <w:tcPr>
          <w:tcW w:w="3420" w:type="dxa"/>
        </w:tcPr>
        <w:p w14:paraId="7A2344B4" w14:textId="45AF5805" w:rsidR="00724C5A" w:rsidRPr="00EC7F16" w:rsidRDefault="00C80089" w:rsidP="00AD23B0">
          <w:pPr>
            <w:rPr>
              <w:rFonts w:ascii="Tahoma" w:hAnsi="Tahoma" w:cs="Tahoma"/>
              <w:b/>
              <w:lang w:val="ro-RO"/>
            </w:rPr>
          </w:pPr>
          <w:bookmarkStart w:id="19" w:name="_Hlk429183"/>
          <w:r>
            <w:rPr>
              <w:rFonts w:ascii="Myriad Pro" w:hAnsi="Myriad Pro" w:cs="Arial"/>
              <w:b/>
              <w:smallCaps/>
              <w:noProof/>
              <w:snapToGrid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72D095B3" wp14:editId="5E147C6B">
                <wp:simplePos x="0" y="0"/>
                <wp:positionH relativeFrom="margin">
                  <wp:posOffset>57150</wp:posOffset>
                </wp:positionH>
                <wp:positionV relativeFrom="paragraph">
                  <wp:posOffset>40640</wp:posOffset>
                </wp:positionV>
                <wp:extent cx="1085850" cy="1029335"/>
                <wp:effectExtent l="0" t="0" r="0" b="0"/>
                <wp:wrapNone/>
                <wp:docPr id="139" name="Imagine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60" w:type="dxa"/>
        </w:tcPr>
        <w:p w14:paraId="360F9791" w14:textId="77777777" w:rsidR="00724C5A" w:rsidRDefault="00724C5A" w:rsidP="00AD23B0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676C4F6A" w14:textId="0D241E3A" w:rsidR="00724C5A" w:rsidRPr="00883AAD" w:rsidRDefault="00724C5A" w:rsidP="00AD23B0">
          <w:pPr>
            <w:jc w:val="center"/>
            <w:rPr>
              <w:rFonts w:ascii="Tahoma" w:hAnsi="Tahoma" w:cs="Tahoma"/>
              <w:b/>
            </w:rPr>
          </w:pPr>
        </w:p>
      </w:tc>
      <w:tc>
        <w:tcPr>
          <w:tcW w:w="1559" w:type="dxa"/>
        </w:tcPr>
        <w:p w14:paraId="412F95DC" w14:textId="5C9F59D5" w:rsidR="00724C5A" w:rsidRPr="00EC7F16" w:rsidRDefault="00256944" w:rsidP="00AD23B0">
          <w:pPr>
            <w:rPr>
              <w:rFonts w:ascii="Tahoma" w:hAnsi="Tahoma" w:cs="Tahoma"/>
              <w:b/>
              <w:lang w:val="ro-RO"/>
            </w:rPr>
          </w:pPr>
          <w:r w:rsidRPr="003F5430">
            <w:rPr>
              <w:rFonts w:ascii="Miyriad Pro" w:hAnsi="Miyriad Pro"/>
              <w:noProof/>
            </w:rPr>
            <w:drawing>
              <wp:anchor distT="0" distB="0" distL="0" distR="0" simplePos="0" relativeHeight="251658241" behindDoc="0" locked="0" layoutInCell="1" allowOverlap="1" wp14:anchorId="51348F29" wp14:editId="6864EA04">
                <wp:simplePos x="0" y="0"/>
                <wp:positionH relativeFrom="page">
                  <wp:posOffset>67310</wp:posOffset>
                </wp:positionH>
                <wp:positionV relativeFrom="paragraph">
                  <wp:posOffset>4445</wp:posOffset>
                </wp:positionV>
                <wp:extent cx="660715" cy="1052397"/>
                <wp:effectExtent l="0" t="0" r="6350" b="0"/>
                <wp:wrapNone/>
                <wp:docPr id="23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2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64269" cy="1058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19"/>
  </w:tbl>
  <w:p w14:paraId="430F4A8E" w14:textId="77777777" w:rsidR="00724C5A" w:rsidRPr="00883AAD" w:rsidRDefault="00724C5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28828242"/>
    <w:lvl w:ilvl="0" w:tplc="BB6A5D34">
      <w:start w:val="10"/>
      <w:numFmt w:val="bullet"/>
      <w:lvlText w:val="-"/>
      <w:lvlJc w:val="left"/>
      <w:pPr>
        <w:ind w:left="682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6F00F210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1B4F52"/>
    <w:multiLevelType w:val="hybridMultilevel"/>
    <w:tmpl w:val="6428DE9C"/>
    <w:lvl w:ilvl="0" w:tplc="C6543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0F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AA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E7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E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89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45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2D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EF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857EA"/>
    <w:multiLevelType w:val="hybridMultilevel"/>
    <w:tmpl w:val="7772BE88"/>
    <w:lvl w:ilvl="0" w:tplc="0409000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7" w15:restartNumberingAfterBreak="0">
    <w:nsid w:val="2E175975"/>
    <w:multiLevelType w:val="hybridMultilevel"/>
    <w:tmpl w:val="D78A5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84029"/>
    <w:multiLevelType w:val="hybridMultilevel"/>
    <w:tmpl w:val="49106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F31F1"/>
    <w:multiLevelType w:val="hybridMultilevel"/>
    <w:tmpl w:val="EC260206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42AF0249"/>
    <w:multiLevelType w:val="hybridMultilevel"/>
    <w:tmpl w:val="C8FAC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507E9"/>
    <w:multiLevelType w:val="hybridMultilevel"/>
    <w:tmpl w:val="643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904838"/>
    <w:multiLevelType w:val="multilevel"/>
    <w:tmpl w:val="C2DAA8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C3A2A"/>
    <w:multiLevelType w:val="hybridMultilevel"/>
    <w:tmpl w:val="4AAAABC4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177670F"/>
    <w:multiLevelType w:val="hybridMultilevel"/>
    <w:tmpl w:val="CA408EBA"/>
    <w:lvl w:ilvl="0" w:tplc="BB6A5D34">
      <w:start w:val="10"/>
      <w:numFmt w:val="bullet"/>
      <w:lvlText w:val="-"/>
      <w:lvlJc w:val="left"/>
      <w:pPr>
        <w:ind w:left="682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428B4"/>
    <w:multiLevelType w:val="hybridMultilevel"/>
    <w:tmpl w:val="60A2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4742B"/>
    <w:multiLevelType w:val="hybridMultilevel"/>
    <w:tmpl w:val="A920ABA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5" w15:restartNumberingAfterBreak="0">
    <w:nsid w:val="6D522C89"/>
    <w:multiLevelType w:val="hybridMultilevel"/>
    <w:tmpl w:val="F90C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D3792"/>
    <w:multiLevelType w:val="hybridMultilevel"/>
    <w:tmpl w:val="DFA8B3C8"/>
    <w:lvl w:ilvl="0" w:tplc="8A7AE6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40971">
    <w:abstractNumId w:val="26"/>
  </w:num>
  <w:num w:numId="2" w16cid:durableId="238760188">
    <w:abstractNumId w:val="18"/>
  </w:num>
  <w:num w:numId="3" w16cid:durableId="1122461184">
    <w:abstractNumId w:val="23"/>
  </w:num>
  <w:num w:numId="4" w16cid:durableId="1676833907">
    <w:abstractNumId w:val="17"/>
  </w:num>
  <w:num w:numId="5" w16cid:durableId="1995141551">
    <w:abstractNumId w:val="8"/>
  </w:num>
  <w:num w:numId="6" w16cid:durableId="511994707">
    <w:abstractNumId w:val="14"/>
  </w:num>
  <w:num w:numId="7" w16cid:durableId="1069382221">
    <w:abstractNumId w:val="4"/>
  </w:num>
  <w:num w:numId="8" w16cid:durableId="1581404268">
    <w:abstractNumId w:val="0"/>
  </w:num>
  <w:num w:numId="9" w16cid:durableId="808279837">
    <w:abstractNumId w:val="5"/>
  </w:num>
  <w:num w:numId="10" w16cid:durableId="791872401">
    <w:abstractNumId w:val="1"/>
  </w:num>
  <w:num w:numId="11" w16cid:durableId="476260784">
    <w:abstractNumId w:val="12"/>
  </w:num>
  <w:num w:numId="12" w16cid:durableId="1051424640">
    <w:abstractNumId w:val="7"/>
  </w:num>
  <w:num w:numId="13" w16cid:durableId="1420904596">
    <w:abstractNumId w:val="15"/>
  </w:num>
  <w:num w:numId="14" w16cid:durableId="1474518242">
    <w:abstractNumId w:val="2"/>
  </w:num>
  <w:num w:numId="15" w16cid:durableId="761414379">
    <w:abstractNumId w:val="20"/>
  </w:num>
  <w:num w:numId="16" w16cid:durableId="2005428954">
    <w:abstractNumId w:val="3"/>
  </w:num>
  <w:num w:numId="17" w16cid:durableId="1529441794">
    <w:abstractNumId w:val="21"/>
  </w:num>
  <w:num w:numId="18" w16cid:durableId="1300110049">
    <w:abstractNumId w:val="19"/>
  </w:num>
  <w:num w:numId="19" w16cid:durableId="20204688">
    <w:abstractNumId w:val="16"/>
  </w:num>
  <w:num w:numId="20" w16cid:durableId="541406434">
    <w:abstractNumId w:val="11"/>
  </w:num>
  <w:num w:numId="21" w16cid:durableId="159585257">
    <w:abstractNumId w:val="9"/>
  </w:num>
  <w:num w:numId="22" w16cid:durableId="324361146">
    <w:abstractNumId w:val="24"/>
  </w:num>
  <w:num w:numId="23" w16cid:durableId="1016157183">
    <w:abstractNumId w:val="13"/>
  </w:num>
  <w:num w:numId="24" w16cid:durableId="1520924457">
    <w:abstractNumId w:val="10"/>
  </w:num>
  <w:num w:numId="25" w16cid:durableId="745877213">
    <w:abstractNumId w:val="6"/>
  </w:num>
  <w:num w:numId="26" w16cid:durableId="189148535">
    <w:abstractNumId w:val="25"/>
  </w:num>
  <w:num w:numId="27" w16cid:durableId="8987103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D3"/>
    <w:rsid w:val="00000E4A"/>
    <w:rsid w:val="000044D4"/>
    <w:rsid w:val="00012099"/>
    <w:rsid w:val="000145FD"/>
    <w:rsid w:val="000160AE"/>
    <w:rsid w:val="00016181"/>
    <w:rsid w:val="00017171"/>
    <w:rsid w:val="00017C92"/>
    <w:rsid w:val="00020572"/>
    <w:rsid w:val="000209ED"/>
    <w:rsid w:val="00022032"/>
    <w:rsid w:val="000229C8"/>
    <w:rsid w:val="00024040"/>
    <w:rsid w:val="00024905"/>
    <w:rsid w:val="000302EC"/>
    <w:rsid w:val="00030966"/>
    <w:rsid w:val="0003584A"/>
    <w:rsid w:val="00036A1F"/>
    <w:rsid w:val="00040407"/>
    <w:rsid w:val="00044AD8"/>
    <w:rsid w:val="000473DC"/>
    <w:rsid w:val="00051A69"/>
    <w:rsid w:val="000522F2"/>
    <w:rsid w:val="000543C5"/>
    <w:rsid w:val="00055A41"/>
    <w:rsid w:val="00055A83"/>
    <w:rsid w:val="00062FAA"/>
    <w:rsid w:val="000637CE"/>
    <w:rsid w:val="00064758"/>
    <w:rsid w:val="00064A21"/>
    <w:rsid w:val="0007042A"/>
    <w:rsid w:val="00070874"/>
    <w:rsid w:val="0007128F"/>
    <w:rsid w:val="000718C0"/>
    <w:rsid w:val="0007350A"/>
    <w:rsid w:val="000757CB"/>
    <w:rsid w:val="00080E69"/>
    <w:rsid w:val="0008102D"/>
    <w:rsid w:val="00083BEB"/>
    <w:rsid w:val="00084D02"/>
    <w:rsid w:val="00084FFA"/>
    <w:rsid w:val="00087D16"/>
    <w:rsid w:val="00090E55"/>
    <w:rsid w:val="0009320C"/>
    <w:rsid w:val="000A20D6"/>
    <w:rsid w:val="000A3891"/>
    <w:rsid w:val="000A3BD3"/>
    <w:rsid w:val="000A48A2"/>
    <w:rsid w:val="000A5939"/>
    <w:rsid w:val="000B3AAB"/>
    <w:rsid w:val="000C12E6"/>
    <w:rsid w:val="000C31D3"/>
    <w:rsid w:val="000C63A9"/>
    <w:rsid w:val="000C6674"/>
    <w:rsid w:val="000D17E3"/>
    <w:rsid w:val="000D1A88"/>
    <w:rsid w:val="000D37EE"/>
    <w:rsid w:val="000D42E8"/>
    <w:rsid w:val="000D478A"/>
    <w:rsid w:val="000D6A74"/>
    <w:rsid w:val="000E0449"/>
    <w:rsid w:val="000E10EC"/>
    <w:rsid w:val="000E188B"/>
    <w:rsid w:val="000E2320"/>
    <w:rsid w:val="000E2D5A"/>
    <w:rsid w:val="000E64D0"/>
    <w:rsid w:val="000E654B"/>
    <w:rsid w:val="000F0529"/>
    <w:rsid w:val="000F2803"/>
    <w:rsid w:val="000F3419"/>
    <w:rsid w:val="000F6440"/>
    <w:rsid w:val="00100307"/>
    <w:rsid w:val="001006DD"/>
    <w:rsid w:val="00101337"/>
    <w:rsid w:val="00101F25"/>
    <w:rsid w:val="001105AA"/>
    <w:rsid w:val="001122FB"/>
    <w:rsid w:val="00113481"/>
    <w:rsid w:val="0011369B"/>
    <w:rsid w:val="001139CC"/>
    <w:rsid w:val="00114540"/>
    <w:rsid w:val="00114D35"/>
    <w:rsid w:val="00114EF4"/>
    <w:rsid w:val="001227BA"/>
    <w:rsid w:val="00122E44"/>
    <w:rsid w:val="001265FB"/>
    <w:rsid w:val="00127610"/>
    <w:rsid w:val="001278A3"/>
    <w:rsid w:val="001307CB"/>
    <w:rsid w:val="001334CA"/>
    <w:rsid w:val="00133DEB"/>
    <w:rsid w:val="0013506C"/>
    <w:rsid w:val="00135794"/>
    <w:rsid w:val="00135B6D"/>
    <w:rsid w:val="00136A19"/>
    <w:rsid w:val="001428FF"/>
    <w:rsid w:val="001429F3"/>
    <w:rsid w:val="00143111"/>
    <w:rsid w:val="0015025E"/>
    <w:rsid w:val="00150DF7"/>
    <w:rsid w:val="0015146B"/>
    <w:rsid w:val="001519ED"/>
    <w:rsid w:val="00154592"/>
    <w:rsid w:val="00155F0E"/>
    <w:rsid w:val="0015643D"/>
    <w:rsid w:val="00164C83"/>
    <w:rsid w:val="001668C9"/>
    <w:rsid w:val="00166EA0"/>
    <w:rsid w:val="00171C2A"/>
    <w:rsid w:val="001725D5"/>
    <w:rsid w:val="00174737"/>
    <w:rsid w:val="00175BA9"/>
    <w:rsid w:val="00176B3B"/>
    <w:rsid w:val="00181838"/>
    <w:rsid w:val="00181A7C"/>
    <w:rsid w:val="00182589"/>
    <w:rsid w:val="001850A1"/>
    <w:rsid w:val="00190735"/>
    <w:rsid w:val="0019277A"/>
    <w:rsid w:val="00192E19"/>
    <w:rsid w:val="00193177"/>
    <w:rsid w:val="001937C6"/>
    <w:rsid w:val="001938C7"/>
    <w:rsid w:val="00193F3D"/>
    <w:rsid w:val="001959A4"/>
    <w:rsid w:val="001975A3"/>
    <w:rsid w:val="001A1537"/>
    <w:rsid w:val="001B4CD1"/>
    <w:rsid w:val="001B537C"/>
    <w:rsid w:val="001C04B8"/>
    <w:rsid w:val="001C16A2"/>
    <w:rsid w:val="001C5802"/>
    <w:rsid w:val="001C583D"/>
    <w:rsid w:val="001C76EB"/>
    <w:rsid w:val="001D1FFE"/>
    <w:rsid w:val="001D5BC3"/>
    <w:rsid w:val="001D645B"/>
    <w:rsid w:val="001E1C3B"/>
    <w:rsid w:val="001E1C8C"/>
    <w:rsid w:val="001E1E65"/>
    <w:rsid w:val="001E3476"/>
    <w:rsid w:val="001E4813"/>
    <w:rsid w:val="001E4AF0"/>
    <w:rsid w:val="001E5389"/>
    <w:rsid w:val="001E5FAE"/>
    <w:rsid w:val="001E6557"/>
    <w:rsid w:val="001E701B"/>
    <w:rsid w:val="001F1FB3"/>
    <w:rsid w:val="001F33D9"/>
    <w:rsid w:val="001F408B"/>
    <w:rsid w:val="001F6410"/>
    <w:rsid w:val="001F748D"/>
    <w:rsid w:val="002022D6"/>
    <w:rsid w:val="0020306A"/>
    <w:rsid w:val="0020525B"/>
    <w:rsid w:val="0020715B"/>
    <w:rsid w:val="00207510"/>
    <w:rsid w:val="002144C2"/>
    <w:rsid w:val="002144CB"/>
    <w:rsid w:val="0021532E"/>
    <w:rsid w:val="00215939"/>
    <w:rsid w:val="00215EED"/>
    <w:rsid w:val="00220DE7"/>
    <w:rsid w:val="00223062"/>
    <w:rsid w:val="002230D9"/>
    <w:rsid w:val="002278FE"/>
    <w:rsid w:val="00232E5E"/>
    <w:rsid w:val="002338FD"/>
    <w:rsid w:val="00236A01"/>
    <w:rsid w:val="00236C4D"/>
    <w:rsid w:val="00240DED"/>
    <w:rsid w:val="00241242"/>
    <w:rsid w:val="00241967"/>
    <w:rsid w:val="00242CBE"/>
    <w:rsid w:val="002504D3"/>
    <w:rsid w:val="00252631"/>
    <w:rsid w:val="002526B8"/>
    <w:rsid w:val="00252F35"/>
    <w:rsid w:val="00253858"/>
    <w:rsid w:val="00256944"/>
    <w:rsid w:val="00256C87"/>
    <w:rsid w:val="002573D2"/>
    <w:rsid w:val="00260382"/>
    <w:rsid w:val="00260A28"/>
    <w:rsid w:val="00261545"/>
    <w:rsid w:val="002637D0"/>
    <w:rsid w:val="00264F52"/>
    <w:rsid w:val="00267AD6"/>
    <w:rsid w:val="00271607"/>
    <w:rsid w:val="0027160C"/>
    <w:rsid w:val="002734D5"/>
    <w:rsid w:val="00273C5E"/>
    <w:rsid w:val="00274241"/>
    <w:rsid w:val="00274C85"/>
    <w:rsid w:val="00275ACE"/>
    <w:rsid w:val="0028098E"/>
    <w:rsid w:val="00280BDF"/>
    <w:rsid w:val="00280F75"/>
    <w:rsid w:val="00285314"/>
    <w:rsid w:val="00285838"/>
    <w:rsid w:val="0028697E"/>
    <w:rsid w:val="002879DD"/>
    <w:rsid w:val="002902FC"/>
    <w:rsid w:val="00291933"/>
    <w:rsid w:val="00293DFC"/>
    <w:rsid w:val="00293FD3"/>
    <w:rsid w:val="00294161"/>
    <w:rsid w:val="002954EB"/>
    <w:rsid w:val="002962D2"/>
    <w:rsid w:val="00296564"/>
    <w:rsid w:val="002A07D9"/>
    <w:rsid w:val="002A1245"/>
    <w:rsid w:val="002A15F5"/>
    <w:rsid w:val="002A1665"/>
    <w:rsid w:val="002A2FF6"/>
    <w:rsid w:val="002B31F5"/>
    <w:rsid w:val="002B341B"/>
    <w:rsid w:val="002B3ACC"/>
    <w:rsid w:val="002C15AF"/>
    <w:rsid w:val="002C45F7"/>
    <w:rsid w:val="002C4CA0"/>
    <w:rsid w:val="002C675B"/>
    <w:rsid w:val="002C6BE9"/>
    <w:rsid w:val="002D1184"/>
    <w:rsid w:val="002D2277"/>
    <w:rsid w:val="002D2F18"/>
    <w:rsid w:val="002D51C9"/>
    <w:rsid w:val="002D54FA"/>
    <w:rsid w:val="002E4093"/>
    <w:rsid w:val="002E4EA7"/>
    <w:rsid w:val="002E6D22"/>
    <w:rsid w:val="002E6FBC"/>
    <w:rsid w:val="002F0556"/>
    <w:rsid w:val="002F0AC4"/>
    <w:rsid w:val="002F3758"/>
    <w:rsid w:val="002F3F91"/>
    <w:rsid w:val="002F488C"/>
    <w:rsid w:val="002F5FE7"/>
    <w:rsid w:val="002F6623"/>
    <w:rsid w:val="002F6879"/>
    <w:rsid w:val="003004E6"/>
    <w:rsid w:val="003008B3"/>
    <w:rsid w:val="003039A0"/>
    <w:rsid w:val="0030543A"/>
    <w:rsid w:val="00310F84"/>
    <w:rsid w:val="003114ED"/>
    <w:rsid w:val="00314D1D"/>
    <w:rsid w:val="00315825"/>
    <w:rsid w:val="00315A92"/>
    <w:rsid w:val="00316747"/>
    <w:rsid w:val="0031712C"/>
    <w:rsid w:val="00317584"/>
    <w:rsid w:val="00320C6D"/>
    <w:rsid w:val="00321020"/>
    <w:rsid w:val="0032219D"/>
    <w:rsid w:val="00327BEF"/>
    <w:rsid w:val="00335DD2"/>
    <w:rsid w:val="0034142A"/>
    <w:rsid w:val="003435CA"/>
    <w:rsid w:val="00346F70"/>
    <w:rsid w:val="0034745D"/>
    <w:rsid w:val="003506C2"/>
    <w:rsid w:val="00351B59"/>
    <w:rsid w:val="00351E39"/>
    <w:rsid w:val="00357355"/>
    <w:rsid w:val="00362277"/>
    <w:rsid w:val="00363EBF"/>
    <w:rsid w:val="0036535F"/>
    <w:rsid w:val="003714A9"/>
    <w:rsid w:val="00377FC9"/>
    <w:rsid w:val="00380193"/>
    <w:rsid w:val="00380AA8"/>
    <w:rsid w:val="0038463E"/>
    <w:rsid w:val="00393050"/>
    <w:rsid w:val="003A057D"/>
    <w:rsid w:val="003A2031"/>
    <w:rsid w:val="003A5DEC"/>
    <w:rsid w:val="003A69D2"/>
    <w:rsid w:val="003B02C6"/>
    <w:rsid w:val="003B2363"/>
    <w:rsid w:val="003B29C3"/>
    <w:rsid w:val="003B52F1"/>
    <w:rsid w:val="003B52F4"/>
    <w:rsid w:val="003C12B4"/>
    <w:rsid w:val="003C15B5"/>
    <w:rsid w:val="003C1C5D"/>
    <w:rsid w:val="003C294C"/>
    <w:rsid w:val="003C377E"/>
    <w:rsid w:val="003C4AD9"/>
    <w:rsid w:val="003C4E0B"/>
    <w:rsid w:val="003C4E3B"/>
    <w:rsid w:val="003C6978"/>
    <w:rsid w:val="003D09FC"/>
    <w:rsid w:val="003D1DB1"/>
    <w:rsid w:val="003D4355"/>
    <w:rsid w:val="003D45A8"/>
    <w:rsid w:val="003D71FA"/>
    <w:rsid w:val="003D72CC"/>
    <w:rsid w:val="003D742F"/>
    <w:rsid w:val="003E08D7"/>
    <w:rsid w:val="003E268F"/>
    <w:rsid w:val="003E4EB4"/>
    <w:rsid w:val="003E5DEF"/>
    <w:rsid w:val="003E628A"/>
    <w:rsid w:val="003F0B5C"/>
    <w:rsid w:val="003F1A19"/>
    <w:rsid w:val="003F2144"/>
    <w:rsid w:val="003F2323"/>
    <w:rsid w:val="003F3B2D"/>
    <w:rsid w:val="003F45EB"/>
    <w:rsid w:val="003F63C0"/>
    <w:rsid w:val="00400351"/>
    <w:rsid w:val="00403A51"/>
    <w:rsid w:val="004106D3"/>
    <w:rsid w:val="004107E6"/>
    <w:rsid w:val="004205F2"/>
    <w:rsid w:val="00425222"/>
    <w:rsid w:val="0043464B"/>
    <w:rsid w:val="0043606E"/>
    <w:rsid w:val="00436514"/>
    <w:rsid w:val="00437DDB"/>
    <w:rsid w:val="00440221"/>
    <w:rsid w:val="004469F5"/>
    <w:rsid w:val="0044779B"/>
    <w:rsid w:val="004506BA"/>
    <w:rsid w:val="00451248"/>
    <w:rsid w:val="0045215D"/>
    <w:rsid w:val="00453527"/>
    <w:rsid w:val="004547CB"/>
    <w:rsid w:val="00455246"/>
    <w:rsid w:val="004568B5"/>
    <w:rsid w:val="004569B7"/>
    <w:rsid w:val="00457B66"/>
    <w:rsid w:val="00457C58"/>
    <w:rsid w:val="00462A6F"/>
    <w:rsid w:val="00462ED0"/>
    <w:rsid w:val="0046332F"/>
    <w:rsid w:val="0046405B"/>
    <w:rsid w:val="00465E49"/>
    <w:rsid w:val="004678CE"/>
    <w:rsid w:val="00470D93"/>
    <w:rsid w:val="00475BD6"/>
    <w:rsid w:val="004801E3"/>
    <w:rsid w:val="00480DE7"/>
    <w:rsid w:val="00481BC3"/>
    <w:rsid w:val="004833BB"/>
    <w:rsid w:val="004834E1"/>
    <w:rsid w:val="0048409F"/>
    <w:rsid w:val="00484359"/>
    <w:rsid w:val="00486E5F"/>
    <w:rsid w:val="00486E7B"/>
    <w:rsid w:val="00494338"/>
    <w:rsid w:val="00496E35"/>
    <w:rsid w:val="004A1FDF"/>
    <w:rsid w:val="004A210D"/>
    <w:rsid w:val="004A2798"/>
    <w:rsid w:val="004A6AA5"/>
    <w:rsid w:val="004A7BCD"/>
    <w:rsid w:val="004B24A5"/>
    <w:rsid w:val="004B5896"/>
    <w:rsid w:val="004B74FA"/>
    <w:rsid w:val="004B7B64"/>
    <w:rsid w:val="004C415A"/>
    <w:rsid w:val="004C6C36"/>
    <w:rsid w:val="004C783A"/>
    <w:rsid w:val="004D22DA"/>
    <w:rsid w:val="004D372E"/>
    <w:rsid w:val="004D4DE6"/>
    <w:rsid w:val="004D4EB8"/>
    <w:rsid w:val="004E1310"/>
    <w:rsid w:val="004E35DF"/>
    <w:rsid w:val="004E56ED"/>
    <w:rsid w:val="004E7D97"/>
    <w:rsid w:val="004F16CE"/>
    <w:rsid w:val="004F46CC"/>
    <w:rsid w:val="004F4968"/>
    <w:rsid w:val="004F4F5B"/>
    <w:rsid w:val="00500217"/>
    <w:rsid w:val="0050148F"/>
    <w:rsid w:val="005015D9"/>
    <w:rsid w:val="005025BA"/>
    <w:rsid w:val="00503031"/>
    <w:rsid w:val="00507481"/>
    <w:rsid w:val="005078E7"/>
    <w:rsid w:val="00510B52"/>
    <w:rsid w:val="00511454"/>
    <w:rsid w:val="00513100"/>
    <w:rsid w:val="005135F2"/>
    <w:rsid w:val="00513770"/>
    <w:rsid w:val="00514391"/>
    <w:rsid w:val="00514A1E"/>
    <w:rsid w:val="00514B8F"/>
    <w:rsid w:val="00523854"/>
    <w:rsid w:val="00527DD9"/>
    <w:rsid w:val="0053340A"/>
    <w:rsid w:val="00534A85"/>
    <w:rsid w:val="00534D54"/>
    <w:rsid w:val="0053604A"/>
    <w:rsid w:val="0053738B"/>
    <w:rsid w:val="00537778"/>
    <w:rsid w:val="0054265B"/>
    <w:rsid w:val="00542E20"/>
    <w:rsid w:val="005511DB"/>
    <w:rsid w:val="0055764E"/>
    <w:rsid w:val="00557D50"/>
    <w:rsid w:val="005603B8"/>
    <w:rsid w:val="00562C34"/>
    <w:rsid w:val="00564615"/>
    <w:rsid w:val="0056506C"/>
    <w:rsid w:val="00565561"/>
    <w:rsid w:val="00565747"/>
    <w:rsid w:val="005714C2"/>
    <w:rsid w:val="005723CA"/>
    <w:rsid w:val="00574A4A"/>
    <w:rsid w:val="005775EE"/>
    <w:rsid w:val="00577636"/>
    <w:rsid w:val="00591771"/>
    <w:rsid w:val="00591CEB"/>
    <w:rsid w:val="00592A3C"/>
    <w:rsid w:val="005941CC"/>
    <w:rsid w:val="0059621E"/>
    <w:rsid w:val="005A072D"/>
    <w:rsid w:val="005A1494"/>
    <w:rsid w:val="005A3219"/>
    <w:rsid w:val="005A36C6"/>
    <w:rsid w:val="005A414E"/>
    <w:rsid w:val="005B0260"/>
    <w:rsid w:val="005B0FCB"/>
    <w:rsid w:val="005B1714"/>
    <w:rsid w:val="005B2A0E"/>
    <w:rsid w:val="005B4101"/>
    <w:rsid w:val="005B6F2A"/>
    <w:rsid w:val="005B775E"/>
    <w:rsid w:val="005C12B6"/>
    <w:rsid w:val="005C340B"/>
    <w:rsid w:val="005C5CFF"/>
    <w:rsid w:val="005C669F"/>
    <w:rsid w:val="005C6C51"/>
    <w:rsid w:val="005C6FE6"/>
    <w:rsid w:val="005D1640"/>
    <w:rsid w:val="005D1766"/>
    <w:rsid w:val="005D2C67"/>
    <w:rsid w:val="005E25D5"/>
    <w:rsid w:val="005E309F"/>
    <w:rsid w:val="005E46D9"/>
    <w:rsid w:val="005E7D62"/>
    <w:rsid w:val="005F0E03"/>
    <w:rsid w:val="005F2696"/>
    <w:rsid w:val="005F3DD3"/>
    <w:rsid w:val="005F57AF"/>
    <w:rsid w:val="005F5A7B"/>
    <w:rsid w:val="005F7262"/>
    <w:rsid w:val="0060181F"/>
    <w:rsid w:val="00607AF4"/>
    <w:rsid w:val="0061194B"/>
    <w:rsid w:val="00612AD4"/>
    <w:rsid w:val="00612F3E"/>
    <w:rsid w:val="00613FBC"/>
    <w:rsid w:val="00614CF8"/>
    <w:rsid w:val="00620BEB"/>
    <w:rsid w:val="00620CEE"/>
    <w:rsid w:val="0062424A"/>
    <w:rsid w:val="0062442E"/>
    <w:rsid w:val="00625B39"/>
    <w:rsid w:val="00626C2E"/>
    <w:rsid w:val="00627415"/>
    <w:rsid w:val="00631F2D"/>
    <w:rsid w:val="0063247F"/>
    <w:rsid w:val="0063696B"/>
    <w:rsid w:val="00640515"/>
    <w:rsid w:val="00640BFB"/>
    <w:rsid w:val="00641111"/>
    <w:rsid w:val="00641BB1"/>
    <w:rsid w:val="00641D08"/>
    <w:rsid w:val="00642679"/>
    <w:rsid w:val="006460B5"/>
    <w:rsid w:val="00651DB4"/>
    <w:rsid w:val="00651E49"/>
    <w:rsid w:val="00652186"/>
    <w:rsid w:val="00657407"/>
    <w:rsid w:val="006579E8"/>
    <w:rsid w:val="00662DFA"/>
    <w:rsid w:val="00663BF9"/>
    <w:rsid w:val="00664411"/>
    <w:rsid w:val="00664A51"/>
    <w:rsid w:val="00677980"/>
    <w:rsid w:val="00695AD9"/>
    <w:rsid w:val="006A152F"/>
    <w:rsid w:val="006A3804"/>
    <w:rsid w:val="006B0F06"/>
    <w:rsid w:val="006C033C"/>
    <w:rsid w:val="006C1D84"/>
    <w:rsid w:val="006C2728"/>
    <w:rsid w:val="006C4B44"/>
    <w:rsid w:val="006D1CBC"/>
    <w:rsid w:val="006D2D66"/>
    <w:rsid w:val="006D63D3"/>
    <w:rsid w:val="006D730C"/>
    <w:rsid w:val="006D74A8"/>
    <w:rsid w:val="006E0C88"/>
    <w:rsid w:val="006E4290"/>
    <w:rsid w:val="006E7A87"/>
    <w:rsid w:val="006E7FD5"/>
    <w:rsid w:val="006F19A9"/>
    <w:rsid w:val="006F43E3"/>
    <w:rsid w:val="006F7F63"/>
    <w:rsid w:val="00700827"/>
    <w:rsid w:val="00701304"/>
    <w:rsid w:val="00701A7B"/>
    <w:rsid w:val="0070457C"/>
    <w:rsid w:val="0070726D"/>
    <w:rsid w:val="007075C9"/>
    <w:rsid w:val="00707666"/>
    <w:rsid w:val="00710AE0"/>
    <w:rsid w:val="00714563"/>
    <w:rsid w:val="00714CC0"/>
    <w:rsid w:val="00715BDC"/>
    <w:rsid w:val="00717548"/>
    <w:rsid w:val="0072073A"/>
    <w:rsid w:val="007208B3"/>
    <w:rsid w:val="00720A24"/>
    <w:rsid w:val="00720AB3"/>
    <w:rsid w:val="007210B7"/>
    <w:rsid w:val="00723127"/>
    <w:rsid w:val="00724C5A"/>
    <w:rsid w:val="00726A17"/>
    <w:rsid w:val="00726EA8"/>
    <w:rsid w:val="00732A20"/>
    <w:rsid w:val="0073490F"/>
    <w:rsid w:val="007356D8"/>
    <w:rsid w:val="00735BDA"/>
    <w:rsid w:val="00752260"/>
    <w:rsid w:val="00754004"/>
    <w:rsid w:val="00757252"/>
    <w:rsid w:val="00757580"/>
    <w:rsid w:val="00757E5D"/>
    <w:rsid w:val="007622BD"/>
    <w:rsid w:val="0076382E"/>
    <w:rsid w:val="0076509D"/>
    <w:rsid w:val="00765A45"/>
    <w:rsid w:val="007677B4"/>
    <w:rsid w:val="00771766"/>
    <w:rsid w:val="007778F1"/>
    <w:rsid w:val="007818A3"/>
    <w:rsid w:val="00782BDA"/>
    <w:rsid w:val="00783DAF"/>
    <w:rsid w:val="0078614E"/>
    <w:rsid w:val="00790260"/>
    <w:rsid w:val="007914BB"/>
    <w:rsid w:val="007928F9"/>
    <w:rsid w:val="0079430B"/>
    <w:rsid w:val="007A083B"/>
    <w:rsid w:val="007A2762"/>
    <w:rsid w:val="007A2EFE"/>
    <w:rsid w:val="007A3335"/>
    <w:rsid w:val="007A4A40"/>
    <w:rsid w:val="007B0D5F"/>
    <w:rsid w:val="007B0DB9"/>
    <w:rsid w:val="007B338A"/>
    <w:rsid w:val="007B3C98"/>
    <w:rsid w:val="007B3D0E"/>
    <w:rsid w:val="007B405B"/>
    <w:rsid w:val="007B5449"/>
    <w:rsid w:val="007B5656"/>
    <w:rsid w:val="007B596D"/>
    <w:rsid w:val="007B686D"/>
    <w:rsid w:val="007C33FE"/>
    <w:rsid w:val="007C3999"/>
    <w:rsid w:val="007C6872"/>
    <w:rsid w:val="007C77F4"/>
    <w:rsid w:val="007D2166"/>
    <w:rsid w:val="007D3B3C"/>
    <w:rsid w:val="007D792C"/>
    <w:rsid w:val="007D7D8B"/>
    <w:rsid w:val="007E0873"/>
    <w:rsid w:val="007E1AA6"/>
    <w:rsid w:val="007E41A7"/>
    <w:rsid w:val="007E5124"/>
    <w:rsid w:val="007E5D9D"/>
    <w:rsid w:val="007F14CC"/>
    <w:rsid w:val="007F6C5F"/>
    <w:rsid w:val="00803B9E"/>
    <w:rsid w:val="00803D06"/>
    <w:rsid w:val="008118D1"/>
    <w:rsid w:val="008120C1"/>
    <w:rsid w:val="00814770"/>
    <w:rsid w:val="00815412"/>
    <w:rsid w:val="0081765F"/>
    <w:rsid w:val="008179EA"/>
    <w:rsid w:val="008215FD"/>
    <w:rsid w:val="00821CA5"/>
    <w:rsid w:val="00823464"/>
    <w:rsid w:val="00824E91"/>
    <w:rsid w:val="00826853"/>
    <w:rsid w:val="00830164"/>
    <w:rsid w:val="00831641"/>
    <w:rsid w:val="00831A8B"/>
    <w:rsid w:val="00832AB2"/>
    <w:rsid w:val="00833445"/>
    <w:rsid w:val="00835688"/>
    <w:rsid w:val="00835EDF"/>
    <w:rsid w:val="008369FD"/>
    <w:rsid w:val="0083776B"/>
    <w:rsid w:val="00837A15"/>
    <w:rsid w:val="00841037"/>
    <w:rsid w:val="00842084"/>
    <w:rsid w:val="00842608"/>
    <w:rsid w:val="00842BF0"/>
    <w:rsid w:val="0084354D"/>
    <w:rsid w:val="00843FCD"/>
    <w:rsid w:val="00846A4D"/>
    <w:rsid w:val="00851823"/>
    <w:rsid w:val="00853285"/>
    <w:rsid w:val="008533DB"/>
    <w:rsid w:val="0085492A"/>
    <w:rsid w:val="00857327"/>
    <w:rsid w:val="00860A16"/>
    <w:rsid w:val="00860A1E"/>
    <w:rsid w:val="00862570"/>
    <w:rsid w:val="00862CB5"/>
    <w:rsid w:val="00863AEF"/>
    <w:rsid w:val="00864493"/>
    <w:rsid w:val="00865FF7"/>
    <w:rsid w:val="00871078"/>
    <w:rsid w:val="008718B4"/>
    <w:rsid w:val="0087443D"/>
    <w:rsid w:val="008746BE"/>
    <w:rsid w:val="0087540B"/>
    <w:rsid w:val="00881F84"/>
    <w:rsid w:val="00882439"/>
    <w:rsid w:val="00883AAD"/>
    <w:rsid w:val="00884361"/>
    <w:rsid w:val="00884F62"/>
    <w:rsid w:val="00886419"/>
    <w:rsid w:val="008909AF"/>
    <w:rsid w:val="00890B9F"/>
    <w:rsid w:val="00893143"/>
    <w:rsid w:val="008952BA"/>
    <w:rsid w:val="00897569"/>
    <w:rsid w:val="008A2F49"/>
    <w:rsid w:val="008B105F"/>
    <w:rsid w:val="008B2CD8"/>
    <w:rsid w:val="008B30F5"/>
    <w:rsid w:val="008B5BAD"/>
    <w:rsid w:val="008B6B6F"/>
    <w:rsid w:val="008B7DC2"/>
    <w:rsid w:val="008C1028"/>
    <w:rsid w:val="008C1A91"/>
    <w:rsid w:val="008C3CE1"/>
    <w:rsid w:val="008C48EE"/>
    <w:rsid w:val="008C6C7B"/>
    <w:rsid w:val="008C7465"/>
    <w:rsid w:val="008D0868"/>
    <w:rsid w:val="008D12E8"/>
    <w:rsid w:val="008D3075"/>
    <w:rsid w:val="008D31D0"/>
    <w:rsid w:val="008D6F0E"/>
    <w:rsid w:val="008E12F0"/>
    <w:rsid w:val="008E3FED"/>
    <w:rsid w:val="008E4525"/>
    <w:rsid w:val="008E5D1A"/>
    <w:rsid w:val="008E790A"/>
    <w:rsid w:val="008E794B"/>
    <w:rsid w:val="008F5DEE"/>
    <w:rsid w:val="008F7745"/>
    <w:rsid w:val="008F7CED"/>
    <w:rsid w:val="009001F8"/>
    <w:rsid w:val="00900F97"/>
    <w:rsid w:val="0090131C"/>
    <w:rsid w:val="00902DD8"/>
    <w:rsid w:val="00903600"/>
    <w:rsid w:val="009042BD"/>
    <w:rsid w:val="00911B6E"/>
    <w:rsid w:val="00915CDC"/>
    <w:rsid w:val="009160E4"/>
    <w:rsid w:val="00917140"/>
    <w:rsid w:val="00917285"/>
    <w:rsid w:val="009238E1"/>
    <w:rsid w:val="00926461"/>
    <w:rsid w:val="009321CE"/>
    <w:rsid w:val="0093344A"/>
    <w:rsid w:val="00934157"/>
    <w:rsid w:val="009345ED"/>
    <w:rsid w:val="00934A29"/>
    <w:rsid w:val="009356A0"/>
    <w:rsid w:val="00940F0D"/>
    <w:rsid w:val="00941D33"/>
    <w:rsid w:val="009439BC"/>
    <w:rsid w:val="00945247"/>
    <w:rsid w:val="009454AE"/>
    <w:rsid w:val="00946286"/>
    <w:rsid w:val="0095058D"/>
    <w:rsid w:val="009546BE"/>
    <w:rsid w:val="009564F6"/>
    <w:rsid w:val="00956CC7"/>
    <w:rsid w:val="00960A11"/>
    <w:rsid w:val="0096135A"/>
    <w:rsid w:val="0096619D"/>
    <w:rsid w:val="00966265"/>
    <w:rsid w:val="00966F60"/>
    <w:rsid w:val="00967A50"/>
    <w:rsid w:val="009713AF"/>
    <w:rsid w:val="00971A4C"/>
    <w:rsid w:val="0097260C"/>
    <w:rsid w:val="00973908"/>
    <w:rsid w:val="00973F83"/>
    <w:rsid w:val="009765DC"/>
    <w:rsid w:val="00977141"/>
    <w:rsid w:val="009771FA"/>
    <w:rsid w:val="00977A37"/>
    <w:rsid w:val="00980E66"/>
    <w:rsid w:val="009813A6"/>
    <w:rsid w:val="00981DF5"/>
    <w:rsid w:val="009825E9"/>
    <w:rsid w:val="009936A6"/>
    <w:rsid w:val="009942EF"/>
    <w:rsid w:val="00994B4F"/>
    <w:rsid w:val="009950D5"/>
    <w:rsid w:val="00997784"/>
    <w:rsid w:val="009A1705"/>
    <w:rsid w:val="009A1A73"/>
    <w:rsid w:val="009A5E67"/>
    <w:rsid w:val="009B087D"/>
    <w:rsid w:val="009B08BE"/>
    <w:rsid w:val="009B2A58"/>
    <w:rsid w:val="009B4075"/>
    <w:rsid w:val="009C301B"/>
    <w:rsid w:val="009C487D"/>
    <w:rsid w:val="009C61F7"/>
    <w:rsid w:val="009C677C"/>
    <w:rsid w:val="009C6A06"/>
    <w:rsid w:val="009C6A57"/>
    <w:rsid w:val="009C6E70"/>
    <w:rsid w:val="009C7965"/>
    <w:rsid w:val="009D0A46"/>
    <w:rsid w:val="009D1023"/>
    <w:rsid w:val="009D2222"/>
    <w:rsid w:val="009D4125"/>
    <w:rsid w:val="009D5881"/>
    <w:rsid w:val="009E30ED"/>
    <w:rsid w:val="009F2EA8"/>
    <w:rsid w:val="009F2FC8"/>
    <w:rsid w:val="009F3E2D"/>
    <w:rsid w:val="009F3EE6"/>
    <w:rsid w:val="009F3F2F"/>
    <w:rsid w:val="009F71F6"/>
    <w:rsid w:val="009F76CD"/>
    <w:rsid w:val="00A00232"/>
    <w:rsid w:val="00A01268"/>
    <w:rsid w:val="00A02C57"/>
    <w:rsid w:val="00A02EF1"/>
    <w:rsid w:val="00A05A4E"/>
    <w:rsid w:val="00A06AC3"/>
    <w:rsid w:val="00A100D9"/>
    <w:rsid w:val="00A114F1"/>
    <w:rsid w:val="00A1529B"/>
    <w:rsid w:val="00A24D0C"/>
    <w:rsid w:val="00A25AE0"/>
    <w:rsid w:val="00A2634C"/>
    <w:rsid w:val="00A27664"/>
    <w:rsid w:val="00A27866"/>
    <w:rsid w:val="00A31198"/>
    <w:rsid w:val="00A35BFA"/>
    <w:rsid w:val="00A36E2B"/>
    <w:rsid w:val="00A47E07"/>
    <w:rsid w:val="00A52751"/>
    <w:rsid w:val="00A55A29"/>
    <w:rsid w:val="00A575B6"/>
    <w:rsid w:val="00A620BD"/>
    <w:rsid w:val="00A638C3"/>
    <w:rsid w:val="00A64B0D"/>
    <w:rsid w:val="00A66468"/>
    <w:rsid w:val="00A66575"/>
    <w:rsid w:val="00A66D1F"/>
    <w:rsid w:val="00A672AD"/>
    <w:rsid w:val="00A7132C"/>
    <w:rsid w:val="00A71C9F"/>
    <w:rsid w:val="00A72F25"/>
    <w:rsid w:val="00A737FB"/>
    <w:rsid w:val="00A75E76"/>
    <w:rsid w:val="00A7644A"/>
    <w:rsid w:val="00A76D95"/>
    <w:rsid w:val="00A82C2F"/>
    <w:rsid w:val="00A9069D"/>
    <w:rsid w:val="00A921AF"/>
    <w:rsid w:val="00A95AE8"/>
    <w:rsid w:val="00A9774C"/>
    <w:rsid w:val="00AA2C00"/>
    <w:rsid w:val="00AA2E01"/>
    <w:rsid w:val="00AA3AF5"/>
    <w:rsid w:val="00AA4B1C"/>
    <w:rsid w:val="00AA51B9"/>
    <w:rsid w:val="00AA787E"/>
    <w:rsid w:val="00AB6C99"/>
    <w:rsid w:val="00AB7BE0"/>
    <w:rsid w:val="00AC0264"/>
    <w:rsid w:val="00AC11BF"/>
    <w:rsid w:val="00AC3A25"/>
    <w:rsid w:val="00AC55B6"/>
    <w:rsid w:val="00AC6CBD"/>
    <w:rsid w:val="00AD08FD"/>
    <w:rsid w:val="00AD0D0B"/>
    <w:rsid w:val="00AD1BAF"/>
    <w:rsid w:val="00AD23B0"/>
    <w:rsid w:val="00AE1FAC"/>
    <w:rsid w:val="00AE2830"/>
    <w:rsid w:val="00AE43A3"/>
    <w:rsid w:val="00AE5BC7"/>
    <w:rsid w:val="00AE6055"/>
    <w:rsid w:val="00AE66ED"/>
    <w:rsid w:val="00AE681B"/>
    <w:rsid w:val="00AF0A02"/>
    <w:rsid w:val="00AF1945"/>
    <w:rsid w:val="00AF4029"/>
    <w:rsid w:val="00AF5FF9"/>
    <w:rsid w:val="00AF65DA"/>
    <w:rsid w:val="00B01ADA"/>
    <w:rsid w:val="00B01C4C"/>
    <w:rsid w:val="00B02A57"/>
    <w:rsid w:val="00B0387E"/>
    <w:rsid w:val="00B04146"/>
    <w:rsid w:val="00B05ABF"/>
    <w:rsid w:val="00B06CA6"/>
    <w:rsid w:val="00B10323"/>
    <w:rsid w:val="00B1129F"/>
    <w:rsid w:val="00B17D55"/>
    <w:rsid w:val="00B2206F"/>
    <w:rsid w:val="00B22A88"/>
    <w:rsid w:val="00B24BFC"/>
    <w:rsid w:val="00B275CD"/>
    <w:rsid w:val="00B30079"/>
    <w:rsid w:val="00B31EBA"/>
    <w:rsid w:val="00B31F86"/>
    <w:rsid w:val="00B374B7"/>
    <w:rsid w:val="00B378D9"/>
    <w:rsid w:val="00B454ED"/>
    <w:rsid w:val="00B458A2"/>
    <w:rsid w:val="00B4777B"/>
    <w:rsid w:val="00B55131"/>
    <w:rsid w:val="00B5541C"/>
    <w:rsid w:val="00B56B9F"/>
    <w:rsid w:val="00B633F3"/>
    <w:rsid w:val="00B6437E"/>
    <w:rsid w:val="00B7319B"/>
    <w:rsid w:val="00B75C17"/>
    <w:rsid w:val="00B77615"/>
    <w:rsid w:val="00B77D5F"/>
    <w:rsid w:val="00B800E6"/>
    <w:rsid w:val="00B828B9"/>
    <w:rsid w:val="00B8309E"/>
    <w:rsid w:val="00B83DD7"/>
    <w:rsid w:val="00B8696B"/>
    <w:rsid w:val="00B90DB7"/>
    <w:rsid w:val="00B9105C"/>
    <w:rsid w:val="00B91C2B"/>
    <w:rsid w:val="00B928DF"/>
    <w:rsid w:val="00B9291D"/>
    <w:rsid w:val="00B95407"/>
    <w:rsid w:val="00B97016"/>
    <w:rsid w:val="00BA1DB3"/>
    <w:rsid w:val="00BA3BE6"/>
    <w:rsid w:val="00BA7565"/>
    <w:rsid w:val="00BB1C82"/>
    <w:rsid w:val="00BB4333"/>
    <w:rsid w:val="00BB46DD"/>
    <w:rsid w:val="00BB4B49"/>
    <w:rsid w:val="00BC0286"/>
    <w:rsid w:val="00BC0995"/>
    <w:rsid w:val="00BC0DB3"/>
    <w:rsid w:val="00BC20EF"/>
    <w:rsid w:val="00BC6E0E"/>
    <w:rsid w:val="00BD1C74"/>
    <w:rsid w:val="00BD282A"/>
    <w:rsid w:val="00BD2980"/>
    <w:rsid w:val="00BD5DD4"/>
    <w:rsid w:val="00BE0975"/>
    <w:rsid w:val="00BE0E2A"/>
    <w:rsid w:val="00BE30E2"/>
    <w:rsid w:val="00BE52A2"/>
    <w:rsid w:val="00BE5528"/>
    <w:rsid w:val="00BE5E0A"/>
    <w:rsid w:val="00BE6098"/>
    <w:rsid w:val="00BE624C"/>
    <w:rsid w:val="00BE7CC9"/>
    <w:rsid w:val="00BE7D21"/>
    <w:rsid w:val="00BE7D51"/>
    <w:rsid w:val="00BF00F4"/>
    <w:rsid w:val="00BF2FD3"/>
    <w:rsid w:val="00BF40A4"/>
    <w:rsid w:val="00BF5A59"/>
    <w:rsid w:val="00BF75BE"/>
    <w:rsid w:val="00BF777A"/>
    <w:rsid w:val="00C00F39"/>
    <w:rsid w:val="00C0193E"/>
    <w:rsid w:val="00C034EC"/>
    <w:rsid w:val="00C0643B"/>
    <w:rsid w:val="00C10006"/>
    <w:rsid w:val="00C1098C"/>
    <w:rsid w:val="00C142D2"/>
    <w:rsid w:val="00C178A1"/>
    <w:rsid w:val="00C21404"/>
    <w:rsid w:val="00C21D5E"/>
    <w:rsid w:val="00C23596"/>
    <w:rsid w:val="00C23770"/>
    <w:rsid w:val="00C23C7B"/>
    <w:rsid w:val="00C23D90"/>
    <w:rsid w:val="00C30361"/>
    <w:rsid w:val="00C33160"/>
    <w:rsid w:val="00C33ED4"/>
    <w:rsid w:val="00C35528"/>
    <w:rsid w:val="00C356BC"/>
    <w:rsid w:val="00C35745"/>
    <w:rsid w:val="00C367CA"/>
    <w:rsid w:val="00C37CE9"/>
    <w:rsid w:val="00C40B5F"/>
    <w:rsid w:val="00C4290F"/>
    <w:rsid w:val="00C47889"/>
    <w:rsid w:val="00C51348"/>
    <w:rsid w:val="00C5235D"/>
    <w:rsid w:val="00C52DF3"/>
    <w:rsid w:val="00C55FB8"/>
    <w:rsid w:val="00C6148C"/>
    <w:rsid w:val="00C63245"/>
    <w:rsid w:val="00C66C2C"/>
    <w:rsid w:val="00C66E70"/>
    <w:rsid w:val="00C738A4"/>
    <w:rsid w:val="00C751CF"/>
    <w:rsid w:val="00C76360"/>
    <w:rsid w:val="00C76B50"/>
    <w:rsid w:val="00C80089"/>
    <w:rsid w:val="00C804A5"/>
    <w:rsid w:val="00C811CA"/>
    <w:rsid w:val="00C82721"/>
    <w:rsid w:val="00C83276"/>
    <w:rsid w:val="00C869FA"/>
    <w:rsid w:val="00C8733E"/>
    <w:rsid w:val="00C875FA"/>
    <w:rsid w:val="00C90DB7"/>
    <w:rsid w:val="00C91D81"/>
    <w:rsid w:val="00C925F0"/>
    <w:rsid w:val="00C95626"/>
    <w:rsid w:val="00CA0EEB"/>
    <w:rsid w:val="00CA1F8D"/>
    <w:rsid w:val="00CA2333"/>
    <w:rsid w:val="00CA2620"/>
    <w:rsid w:val="00CA70FD"/>
    <w:rsid w:val="00CA73BE"/>
    <w:rsid w:val="00CB37E5"/>
    <w:rsid w:val="00CB66D0"/>
    <w:rsid w:val="00CC06E0"/>
    <w:rsid w:val="00CC0E5A"/>
    <w:rsid w:val="00CC248A"/>
    <w:rsid w:val="00CC510A"/>
    <w:rsid w:val="00CC5743"/>
    <w:rsid w:val="00CC5F2C"/>
    <w:rsid w:val="00CC788D"/>
    <w:rsid w:val="00CD15AE"/>
    <w:rsid w:val="00CD2C1C"/>
    <w:rsid w:val="00CD352D"/>
    <w:rsid w:val="00CD5244"/>
    <w:rsid w:val="00CD5FF1"/>
    <w:rsid w:val="00CE02EA"/>
    <w:rsid w:val="00CE06A0"/>
    <w:rsid w:val="00CE219B"/>
    <w:rsid w:val="00CE2880"/>
    <w:rsid w:val="00CE5EA2"/>
    <w:rsid w:val="00CF0BBA"/>
    <w:rsid w:val="00CF6A9F"/>
    <w:rsid w:val="00CF7A61"/>
    <w:rsid w:val="00D0328D"/>
    <w:rsid w:val="00D059D0"/>
    <w:rsid w:val="00D05AF1"/>
    <w:rsid w:val="00D06074"/>
    <w:rsid w:val="00D06328"/>
    <w:rsid w:val="00D06C06"/>
    <w:rsid w:val="00D10A78"/>
    <w:rsid w:val="00D1185B"/>
    <w:rsid w:val="00D12E0F"/>
    <w:rsid w:val="00D16ED3"/>
    <w:rsid w:val="00D16F9E"/>
    <w:rsid w:val="00D170C5"/>
    <w:rsid w:val="00D22B3E"/>
    <w:rsid w:val="00D30BCB"/>
    <w:rsid w:val="00D32EC0"/>
    <w:rsid w:val="00D34E23"/>
    <w:rsid w:val="00D35186"/>
    <w:rsid w:val="00D36A36"/>
    <w:rsid w:val="00D40B6E"/>
    <w:rsid w:val="00D44033"/>
    <w:rsid w:val="00D448A2"/>
    <w:rsid w:val="00D463DE"/>
    <w:rsid w:val="00D46DC4"/>
    <w:rsid w:val="00D5095F"/>
    <w:rsid w:val="00D52A6B"/>
    <w:rsid w:val="00D53D06"/>
    <w:rsid w:val="00D53EF3"/>
    <w:rsid w:val="00D55438"/>
    <w:rsid w:val="00D56DD1"/>
    <w:rsid w:val="00D57647"/>
    <w:rsid w:val="00D624DD"/>
    <w:rsid w:val="00D631A1"/>
    <w:rsid w:val="00D670C4"/>
    <w:rsid w:val="00D70934"/>
    <w:rsid w:val="00D71994"/>
    <w:rsid w:val="00D72CA0"/>
    <w:rsid w:val="00D75E9F"/>
    <w:rsid w:val="00D7619D"/>
    <w:rsid w:val="00D87CDE"/>
    <w:rsid w:val="00D87D82"/>
    <w:rsid w:val="00D9265C"/>
    <w:rsid w:val="00D92E14"/>
    <w:rsid w:val="00D93C40"/>
    <w:rsid w:val="00D93F97"/>
    <w:rsid w:val="00D95CDB"/>
    <w:rsid w:val="00D975E9"/>
    <w:rsid w:val="00DA2540"/>
    <w:rsid w:val="00DA2AF4"/>
    <w:rsid w:val="00DA2E00"/>
    <w:rsid w:val="00DB1B03"/>
    <w:rsid w:val="00DB49EF"/>
    <w:rsid w:val="00DB60D8"/>
    <w:rsid w:val="00DB66E2"/>
    <w:rsid w:val="00DB6CA3"/>
    <w:rsid w:val="00DC1781"/>
    <w:rsid w:val="00DC515E"/>
    <w:rsid w:val="00DC6AC9"/>
    <w:rsid w:val="00DC6D62"/>
    <w:rsid w:val="00DD0504"/>
    <w:rsid w:val="00DD0DD3"/>
    <w:rsid w:val="00DD0EF4"/>
    <w:rsid w:val="00DD1FFD"/>
    <w:rsid w:val="00DD240E"/>
    <w:rsid w:val="00DD5D19"/>
    <w:rsid w:val="00DE309C"/>
    <w:rsid w:val="00DE4978"/>
    <w:rsid w:val="00DE664B"/>
    <w:rsid w:val="00DE7DFD"/>
    <w:rsid w:val="00DE7FC8"/>
    <w:rsid w:val="00DF03BC"/>
    <w:rsid w:val="00DF55A5"/>
    <w:rsid w:val="00E0055A"/>
    <w:rsid w:val="00E01D4C"/>
    <w:rsid w:val="00E0334B"/>
    <w:rsid w:val="00E03B54"/>
    <w:rsid w:val="00E145AD"/>
    <w:rsid w:val="00E20C9F"/>
    <w:rsid w:val="00E20E96"/>
    <w:rsid w:val="00E22823"/>
    <w:rsid w:val="00E242D3"/>
    <w:rsid w:val="00E24837"/>
    <w:rsid w:val="00E24E84"/>
    <w:rsid w:val="00E252DE"/>
    <w:rsid w:val="00E276EF"/>
    <w:rsid w:val="00E27EF2"/>
    <w:rsid w:val="00E317D9"/>
    <w:rsid w:val="00E318D1"/>
    <w:rsid w:val="00E35123"/>
    <w:rsid w:val="00E359FD"/>
    <w:rsid w:val="00E35AB5"/>
    <w:rsid w:val="00E35B5B"/>
    <w:rsid w:val="00E36797"/>
    <w:rsid w:val="00E36F66"/>
    <w:rsid w:val="00E4249F"/>
    <w:rsid w:val="00E437A2"/>
    <w:rsid w:val="00E45020"/>
    <w:rsid w:val="00E52F2E"/>
    <w:rsid w:val="00E606A7"/>
    <w:rsid w:val="00E60E7C"/>
    <w:rsid w:val="00E64670"/>
    <w:rsid w:val="00E64731"/>
    <w:rsid w:val="00E66FB2"/>
    <w:rsid w:val="00E673E7"/>
    <w:rsid w:val="00E70BC5"/>
    <w:rsid w:val="00E71E02"/>
    <w:rsid w:val="00E72249"/>
    <w:rsid w:val="00E7232F"/>
    <w:rsid w:val="00E72F81"/>
    <w:rsid w:val="00E74332"/>
    <w:rsid w:val="00E84025"/>
    <w:rsid w:val="00E84F82"/>
    <w:rsid w:val="00E8574A"/>
    <w:rsid w:val="00E86DEC"/>
    <w:rsid w:val="00E90CBA"/>
    <w:rsid w:val="00E90E4A"/>
    <w:rsid w:val="00E94EBD"/>
    <w:rsid w:val="00E976C8"/>
    <w:rsid w:val="00E97B41"/>
    <w:rsid w:val="00EA13EA"/>
    <w:rsid w:val="00EA1764"/>
    <w:rsid w:val="00EA280C"/>
    <w:rsid w:val="00EA60BB"/>
    <w:rsid w:val="00EB3DE1"/>
    <w:rsid w:val="00EC7F40"/>
    <w:rsid w:val="00ED6B6D"/>
    <w:rsid w:val="00EE6623"/>
    <w:rsid w:val="00EF0076"/>
    <w:rsid w:val="00EF293C"/>
    <w:rsid w:val="00F01670"/>
    <w:rsid w:val="00F03406"/>
    <w:rsid w:val="00F066C5"/>
    <w:rsid w:val="00F06F26"/>
    <w:rsid w:val="00F07D45"/>
    <w:rsid w:val="00F10C40"/>
    <w:rsid w:val="00F16444"/>
    <w:rsid w:val="00F169EF"/>
    <w:rsid w:val="00F203BC"/>
    <w:rsid w:val="00F21939"/>
    <w:rsid w:val="00F2282C"/>
    <w:rsid w:val="00F23118"/>
    <w:rsid w:val="00F30497"/>
    <w:rsid w:val="00F30FB2"/>
    <w:rsid w:val="00F32198"/>
    <w:rsid w:val="00F33E64"/>
    <w:rsid w:val="00F34681"/>
    <w:rsid w:val="00F371E9"/>
    <w:rsid w:val="00F377BD"/>
    <w:rsid w:val="00F4137D"/>
    <w:rsid w:val="00F41602"/>
    <w:rsid w:val="00F4207A"/>
    <w:rsid w:val="00F44F68"/>
    <w:rsid w:val="00F46386"/>
    <w:rsid w:val="00F51E3E"/>
    <w:rsid w:val="00F5255A"/>
    <w:rsid w:val="00F61DB4"/>
    <w:rsid w:val="00F65BE2"/>
    <w:rsid w:val="00F66A6A"/>
    <w:rsid w:val="00F7081F"/>
    <w:rsid w:val="00F731A7"/>
    <w:rsid w:val="00F7433E"/>
    <w:rsid w:val="00F765CF"/>
    <w:rsid w:val="00F767D1"/>
    <w:rsid w:val="00F767E2"/>
    <w:rsid w:val="00F80E2B"/>
    <w:rsid w:val="00F80F3A"/>
    <w:rsid w:val="00F81F96"/>
    <w:rsid w:val="00F83DEF"/>
    <w:rsid w:val="00F84342"/>
    <w:rsid w:val="00F84351"/>
    <w:rsid w:val="00F8500D"/>
    <w:rsid w:val="00F85503"/>
    <w:rsid w:val="00F903B9"/>
    <w:rsid w:val="00F90C05"/>
    <w:rsid w:val="00F92FD2"/>
    <w:rsid w:val="00F94189"/>
    <w:rsid w:val="00FA1046"/>
    <w:rsid w:val="00FA3649"/>
    <w:rsid w:val="00FA45B5"/>
    <w:rsid w:val="00FA6DB1"/>
    <w:rsid w:val="00FB0F28"/>
    <w:rsid w:val="00FB3764"/>
    <w:rsid w:val="00FB3A16"/>
    <w:rsid w:val="00FB3F75"/>
    <w:rsid w:val="00FB46FF"/>
    <w:rsid w:val="00FC25AE"/>
    <w:rsid w:val="00FC2AD2"/>
    <w:rsid w:val="00FC4A47"/>
    <w:rsid w:val="00FC514C"/>
    <w:rsid w:val="00FC5960"/>
    <w:rsid w:val="00FC5CE9"/>
    <w:rsid w:val="00FC5D45"/>
    <w:rsid w:val="00FD14AA"/>
    <w:rsid w:val="00FD178F"/>
    <w:rsid w:val="00FD1989"/>
    <w:rsid w:val="00FD5168"/>
    <w:rsid w:val="00FD7FF6"/>
    <w:rsid w:val="00FE0D89"/>
    <w:rsid w:val="00FE2E3A"/>
    <w:rsid w:val="00FE37A6"/>
    <w:rsid w:val="00FE3C1D"/>
    <w:rsid w:val="00FE65B6"/>
    <w:rsid w:val="00FE7F0C"/>
    <w:rsid w:val="00FF13FA"/>
    <w:rsid w:val="00FF3EDA"/>
    <w:rsid w:val="00FF7D85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D5377"/>
  <w15:docId w15:val="{110579D6-D065-4868-B95D-74A4FB80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elgril">
    <w:name w:val="Table Grid"/>
    <w:basedOn w:val="Tabel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(numbered (a)),WB Para,List Paragraph1,Bullets,Akapit z listą BS"/>
    <w:basedOn w:val="Normal"/>
    <w:link w:val="ListparagrafCaracte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fCaracter">
    <w:name w:val="Listă paragraf Caracter"/>
    <w:aliases w:val="List Paragraph (numbered (a)) Caracter,WB Para Caracter,List Paragraph1 Caracter,Bullets Caracter,Akapit z listą BS Caracter"/>
    <w:link w:val="Listparagraf"/>
    <w:uiPriority w:val="34"/>
    <w:locked/>
    <w:rsid w:val="00CC248A"/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itlucuprins">
    <w:name w:val="TOC Heading"/>
    <w:basedOn w:val="Titlu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AC6CBD"/>
    <w:pPr>
      <w:tabs>
        <w:tab w:val="left" w:pos="660"/>
        <w:tab w:val="right" w:leader="dot" w:pos="9876"/>
      </w:tabs>
      <w:spacing w:after="100"/>
    </w:pPr>
  </w:style>
  <w:style w:type="character" w:styleId="Hyperlink">
    <w:name w:val="Hyperlink"/>
    <w:basedOn w:val="Fontdeparagrafimplici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Referincomentariu">
    <w:name w:val="annotation reference"/>
    <w:basedOn w:val="Fontdeparagrafimplicit"/>
    <w:uiPriority w:val="99"/>
    <w:semiHidden/>
    <w:unhideWhenUsed/>
    <w:rsid w:val="00E66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66FB2"/>
    <w:rPr>
      <w:sz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66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Textnotdesubsol">
    <w:name w:val="footnote text"/>
    <w:basedOn w:val="Normal"/>
    <w:link w:val="TextnotdesubsolCaracter"/>
    <w:semiHidden/>
    <w:rsid w:val="008E12F0"/>
    <w:rPr>
      <w:snapToGrid/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innotdesubsol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F0A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D170C5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3114E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ts-alignment-element">
    <w:name w:val="ts-alignment-element"/>
    <w:basedOn w:val="Fontdeparagrafimplicit"/>
    <w:rsid w:val="003039A0"/>
  </w:style>
  <w:style w:type="character" w:customStyle="1" w:styleId="ts-alignment-element-highlighted">
    <w:name w:val="ts-alignment-element-highlighted"/>
    <w:basedOn w:val="Fontdeparagrafimplicit"/>
    <w:rsid w:val="003039A0"/>
  </w:style>
  <w:style w:type="character" w:styleId="MeniuneNerezolvat">
    <w:name w:val="Unresolved Mention"/>
    <w:basedOn w:val="Fontdeparagrafimplicit"/>
    <w:uiPriority w:val="99"/>
    <w:semiHidden/>
    <w:unhideWhenUsed/>
    <w:rsid w:val="009D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73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13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6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36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0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9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3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3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7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8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6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5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2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6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8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74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2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9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1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.blanuta@undp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el.blanuta@und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.undp.md/viewtenders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.blanuta@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5" ma:contentTypeDescription="Create a new document." ma:contentTypeScope="" ma:versionID="2627b47db415b8d03a91cf2f8907b4a2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d67a6f2aec9c980f202b992931709c88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27C16-BD75-4D91-8D17-88BDE977C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B0D6C-621B-4EAC-B687-27F8FF1330E5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818916B0-38C3-4C61-8261-7AED4F168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95ed7-3446-4eaa-9654-833b9acd7bac"/>
    <ds:schemaRef ds:uri="4c51f348-d0d4-450d-a76b-033b8913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7CD361-B3C8-4539-877C-CF9256215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2582</Words>
  <Characters>14718</Characters>
  <Application>Microsoft Office Word</Application>
  <DocSecurity>0</DocSecurity>
  <Lines>122</Lines>
  <Paragraphs>34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17266</CharactersWithSpaces>
  <SharedDoc>false</SharedDoc>
  <HLinks>
    <vt:vector size="84" baseType="variant">
      <vt:variant>
        <vt:i4>1441918</vt:i4>
      </vt:variant>
      <vt:variant>
        <vt:i4>69</vt:i4>
      </vt:variant>
      <vt:variant>
        <vt:i4>0</vt:i4>
      </vt:variant>
      <vt:variant>
        <vt:i4>5</vt:i4>
      </vt:variant>
      <vt:variant>
        <vt:lpwstr>mailto:marcel.blanuta@undp.org</vt:lpwstr>
      </vt:variant>
      <vt:variant>
        <vt:lpwstr/>
      </vt:variant>
      <vt:variant>
        <vt:i4>1441918</vt:i4>
      </vt:variant>
      <vt:variant>
        <vt:i4>66</vt:i4>
      </vt:variant>
      <vt:variant>
        <vt:i4>0</vt:i4>
      </vt:variant>
      <vt:variant>
        <vt:i4>5</vt:i4>
      </vt:variant>
      <vt:variant>
        <vt:lpwstr>mailto:marcel.blanuta@undp.org</vt:lpwstr>
      </vt:variant>
      <vt:variant>
        <vt:lpwstr/>
      </vt:variant>
      <vt:variant>
        <vt:i4>1441918</vt:i4>
      </vt:variant>
      <vt:variant>
        <vt:i4>63</vt:i4>
      </vt:variant>
      <vt:variant>
        <vt:i4>0</vt:i4>
      </vt:variant>
      <vt:variant>
        <vt:i4>5</vt:i4>
      </vt:variant>
      <vt:variant>
        <vt:lpwstr>mailto:marcel.blanuta@undp.org</vt:lpwstr>
      </vt:variant>
      <vt:variant>
        <vt:lpwstr/>
      </vt:variant>
      <vt:variant>
        <vt:i4>1638430</vt:i4>
      </vt:variant>
      <vt:variant>
        <vt:i4>60</vt:i4>
      </vt:variant>
      <vt:variant>
        <vt:i4>0</vt:i4>
      </vt:variant>
      <vt:variant>
        <vt:i4>5</vt:i4>
      </vt:variant>
      <vt:variant>
        <vt:lpwstr>https://sc.undp.md/viewtenders2/</vt:lpwstr>
      </vt:variant>
      <vt:variant>
        <vt:lpwstr/>
      </vt:variant>
      <vt:variant>
        <vt:i4>4653134</vt:i4>
      </vt:variant>
      <vt:variant>
        <vt:i4>57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_Toc173157605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_Toc173157604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_Toc173157603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_Toc173157602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_Toc173157601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_Toc173157600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_Toc173157599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_Toc173157598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_Toc173157597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Marcel Blanuta</cp:lastModifiedBy>
  <cp:revision>504</cp:revision>
  <cp:lastPrinted>2019-07-26T09:52:00Z</cp:lastPrinted>
  <dcterms:created xsi:type="dcterms:W3CDTF">2024-07-13T07:43:00Z</dcterms:created>
  <dcterms:modified xsi:type="dcterms:W3CDTF">2024-09-20T13:38:00Z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</Properties>
</file>