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B6A1" w14:textId="701918AC" w:rsidR="003945AC" w:rsidRPr="003945AC" w:rsidRDefault="003945AC" w:rsidP="003945AC">
      <w:pPr>
        <w:rPr>
          <w:rFonts w:ascii="Calibri" w:hAnsi="Calibri" w:cs="Calibri"/>
          <w:b/>
          <w:bCs/>
        </w:rPr>
      </w:pPr>
      <w:r w:rsidRPr="003945AC">
        <w:rPr>
          <w:rFonts w:ascii="Calibri" w:hAnsi="Calibri" w:cs="Calibri"/>
          <w:b/>
          <w:bCs/>
        </w:rPr>
        <w:t xml:space="preserve">Annex </w:t>
      </w:r>
      <w:r w:rsidR="00E80AD1">
        <w:rPr>
          <w:rFonts w:ascii="Calibri" w:hAnsi="Calibri" w:cs="Calibri"/>
          <w:b/>
          <w:bCs/>
        </w:rPr>
        <w:t>4</w:t>
      </w:r>
      <w:r w:rsidR="00320656">
        <w:rPr>
          <w:rFonts w:ascii="Calibri" w:hAnsi="Calibri" w:cs="Calibri"/>
          <w:b/>
          <w:bCs/>
        </w:rPr>
        <w:t>.1</w:t>
      </w:r>
      <w:r w:rsidRPr="003945AC">
        <w:rPr>
          <w:rFonts w:ascii="Calibri" w:hAnsi="Calibri" w:cs="Calibri"/>
          <w:b/>
          <w:bCs/>
        </w:rPr>
        <w:t xml:space="preserve">: </w:t>
      </w:r>
      <w:r w:rsidR="00320656">
        <w:rPr>
          <w:rFonts w:ascii="Calibri" w:hAnsi="Calibri" w:cs="Calibri"/>
          <w:b/>
          <w:bCs/>
        </w:rPr>
        <w:t>Technical Responsivess Table</w:t>
      </w:r>
      <w:r w:rsidRPr="003945AC">
        <w:rPr>
          <w:rFonts w:ascii="Calibri" w:hAnsi="Calibri" w:cs="Calibri"/>
          <w:b/>
          <w:bCs/>
        </w:rPr>
        <w:t xml:space="preserve"> </w:t>
      </w:r>
      <w:r w:rsidR="00320656">
        <w:rPr>
          <w:rFonts w:ascii="Calibri" w:hAnsi="Calibri" w:cs="Calibri"/>
          <w:b/>
          <w:bCs/>
        </w:rPr>
        <w:t xml:space="preserve">for </w:t>
      </w:r>
      <w:r w:rsidRPr="003945AC">
        <w:rPr>
          <w:rFonts w:ascii="Calibri" w:hAnsi="Calibri" w:cs="Calibri"/>
          <w:b/>
          <w:bCs/>
        </w:rPr>
        <w:t>LOT 1</w:t>
      </w:r>
    </w:p>
    <w:p w14:paraId="735DE225" w14:textId="702C8B6C" w:rsidR="00536F15" w:rsidRPr="003422E2" w:rsidRDefault="00AB0739" w:rsidP="00AB073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</w:t>
      </w:r>
      <w:r w:rsidR="003945AC" w:rsidRPr="003945AC">
        <w:rPr>
          <w:rFonts w:ascii="Calibri" w:hAnsi="Calibri" w:cs="Calibri"/>
          <w:b/>
          <w:bCs/>
        </w:rPr>
        <w:t xml:space="preserve">OT 1 </w:t>
      </w:r>
      <w:r w:rsidR="003945AC" w:rsidRPr="003945AC">
        <w:rPr>
          <w:rFonts w:ascii="Calibri" w:eastAsia="Times New Roman" w:hAnsi="Calibri" w:cs="Calibri"/>
          <w:b/>
          <w:bCs/>
        </w:rPr>
        <w:t>Development of Designs and Installation of a Photovoltaic System with storage of 140 kW capacity for Strășeni District Hospital</w:t>
      </w:r>
    </w:p>
    <w:p w14:paraId="47A7A394" w14:textId="45EF434A" w:rsidR="009534E7" w:rsidRPr="009534E7" w:rsidRDefault="009534E7" w:rsidP="009534E7">
      <w:pPr>
        <w:jc w:val="right"/>
        <w:rPr>
          <w:rFonts w:ascii="Times New Roman" w:hAnsi="Times New Roman" w:cs="Times New Roman"/>
          <w:b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490"/>
        <w:gridCol w:w="1935"/>
        <w:gridCol w:w="3240"/>
        <w:gridCol w:w="1170"/>
        <w:gridCol w:w="3600"/>
      </w:tblGrid>
      <w:tr w:rsidR="009C3419" w:rsidRPr="0028261B" w14:paraId="7474C756" w14:textId="77777777" w:rsidTr="481B82AA">
        <w:trPr>
          <w:trHeight w:val="300"/>
        </w:trPr>
        <w:tc>
          <w:tcPr>
            <w:tcW w:w="490" w:type="dxa"/>
            <w:vAlign w:val="center"/>
          </w:tcPr>
          <w:p w14:paraId="4B22552E" w14:textId="75CB8D2B" w:rsidR="009C3419" w:rsidRPr="0028261B" w:rsidRDefault="00AD6A94" w:rsidP="003B6293">
            <w:pPr>
              <w:pStyle w:val="List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#</w:t>
            </w:r>
          </w:p>
        </w:tc>
        <w:tc>
          <w:tcPr>
            <w:tcW w:w="1935" w:type="dxa"/>
            <w:vAlign w:val="center"/>
          </w:tcPr>
          <w:p w14:paraId="7F2AB56D" w14:textId="423B5A3A" w:rsidR="009C3419" w:rsidRPr="0013170F" w:rsidRDefault="00AD6A94" w:rsidP="00AD6A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17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Requirement/ parameter</w:t>
            </w:r>
          </w:p>
        </w:tc>
        <w:tc>
          <w:tcPr>
            <w:tcW w:w="3240" w:type="dxa"/>
            <w:vAlign w:val="center"/>
          </w:tcPr>
          <w:p w14:paraId="247F1022" w14:textId="32406F80" w:rsidR="009C3419" w:rsidRPr="0013170F" w:rsidRDefault="0013170F" w:rsidP="001317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17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3F1027B4" w14:textId="77777777" w:rsidR="009C3419" w:rsidRPr="009C3419" w:rsidRDefault="009C3419" w:rsidP="009C341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9C34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Indicate compliance</w:t>
            </w:r>
          </w:p>
          <w:p w14:paraId="399AB3CE" w14:textId="69CFE8CC" w:rsidR="009C3419" w:rsidRPr="0028261B" w:rsidRDefault="009C3419" w:rsidP="009C3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4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(YES / NO)</w:t>
            </w:r>
          </w:p>
        </w:tc>
        <w:tc>
          <w:tcPr>
            <w:tcW w:w="3600" w:type="dxa"/>
          </w:tcPr>
          <w:p w14:paraId="7EF0BC4D" w14:textId="2C2F05EE" w:rsidR="009C3419" w:rsidRPr="003B6293" w:rsidRDefault="003C7FBA" w:rsidP="00C540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2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Highlight deviations and provide comments</w:t>
            </w:r>
          </w:p>
        </w:tc>
      </w:tr>
      <w:tr w:rsidR="003B6293" w:rsidRPr="0028261B" w14:paraId="595D737E" w14:textId="77777777" w:rsidTr="481B82AA">
        <w:trPr>
          <w:trHeight w:val="300"/>
        </w:trPr>
        <w:tc>
          <w:tcPr>
            <w:tcW w:w="5665" w:type="dxa"/>
            <w:gridSpan w:val="3"/>
            <w:shd w:val="clear" w:color="auto" w:fill="AEAAAA" w:themeFill="background2" w:themeFillShade="BF"/>
            <w:vAlign w:val="center"/>
          </w:tcPr>
          <w:p w14:paraId="21586CFA" w14:textId="4F97DFF3" w:rsidR="003B6293" w:rsidRPr="003B6293" w:rsidRDefault="003B6293" w:rsidP="003B62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Installation</w:t>
            </w:r>
          </w:p>
        </w:tc>
        <w:tc>
          <w:tcPr>
            <w:tcW w:w="1170" w:type="dxa"/>
            <w:shd w:val="clear" w:color="auto" w:fill="AEAAAA" w:themeFill="background2" w:themeFillShade="BF"/>
            <w:vAlign w:val="center"/>
          </w:tcPr>
          <w:p w14:paraId="58597B93" w14:textId="77777777" w:rsidR="003B6293" w:rsidRPr="003B6293" w:rsidRDefault="003B6293" w:rsidP="003B62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EAAAA" w:themeFill="background2" w:themeFillShade="BF"/>
          </w:tcPr>
          <w:p w14:paraId="7BE69E8D" w14:textId="77777777" w:rsidR="003B6293" w:rsidRPr="003B6293" w:rsidRDefault="003B6293" w:rsidP="003B62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3B89" w:rsidRPr="0028261B" w14:paraId="7B92C892" w14:textId="70D57815" w:rsidTr="481B82AA">
        <w:trPr>
          <w:trHeight w:val="300"/>
        </w:trPr>
        <w:tc>
          <w:tcPr>
            <w:tcW w:w="490" w:type="dxa"/>
            <w:vAlign w:val="center"/>
          </w:tcPr>
          <w:p w14:paraId="4DBE0525" w14:textId="77777777" w:rsidR="00C33B89" w:rsidRPr="0028261B" w:rsidRDefault="00C33B89" w:rsidP="00CA03F3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0DD83562" w14:textId="60615636" w:rsidR="00C33B89" w:rsidRPr="0028261B" w:rsidRDefault="00C33B89" w:rsidP="00CA0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Meteorological design conditions</w:t>
            </w:r>
          </w:p>
        </w:tc>
        <w:tc>
          <w:tcPr>
            <w:tcW w:w="3240" w:type="dxa"/>
            <w:vAlign w:val="center"/>
          </w:tcPr>
          <w:p w14:paraId="15DFAC06" w14:textId="54B8428A" w:rsidR="00C33B89" w:rsidRPr="0028261B" w:rsidRDefault="00C33B89" w:rsidP="00F06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Wind pressure – 30 kgf/m²</w:t>
            </w:r>
          </w:p>
          <w:p w14:paraId="1A465317" w14:textId="0FA4E9AC" w:rsidR="00C33B89" w:rsidRPr="0028261B" w:rsidRDefault="00C33B89" w:rsidP="00F06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Snow load – 50 kgf/m²</w:t>
            </w:r>
          </w:p>
          <w:p w14:paraId="4E9BFDD6" w14:textId="6F653561" w:rsidR="00C33B89" w:rsidRPr="0028261B" w:rsidRDefault="00C33B89" w:rsidP="00F06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Minimum temperature – -25°C</w:t>
            </w:r>
          </w:p>
          <w:p w14:paraId="3A84BB61" w14:textId="5165D328" w:rsidR="00C33B89" w:rsidRPr="0028261B" w:rsidRDefault="00C33B89" w:rsidP="00F06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Maximum temperature – +60°C.</w:t>
            </w:r>
          </w:p>
        </w:tc>
        <w:tc>
          <w:tcPr>
            <w:tcW w:w="1170" w:type="dxa"/>
            <w:vAlign w:val="center"/>
          </w:tcPr>
          <w:p w14:paraId="11155CB8" w14:textId="66F37553" w:rsidR="00C33B89" w:rsidRPr="0028261B" w:rsidRDefault="00C33B89" w:rsidP="00C540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86CA627" w14:textId="77777777" w:rsidR="00C33B89" w:rsidRPr="0028261B" w:rsidRDefault="00C33B89" w:rsidP="00C540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16D575C3" w14:textId="033DC295" w:rsidTr="481B82AA">
        <w:trPr>
          <w:trHeight w:val="300"/>
        </w:trPr>
        <w:tc>
          <w:tcPr>
            <w:tcW w:w="490" w:type="dxa"/>
            <w:vAlign w:val="center"/>
          </w:tcPr>
          <w:p w14:paraId="1DC06ED5" w14:textId="77777777" w:rsidR="00C33B89" w:rsidRPr="0028261B" w:rsidRDefault="00C33B89" w:rsidP="00CA03F3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7A68B033" w14:textId="3521AD5B" w:rsidR="00C33B89" w:rsidRPr="0028261B" w:rsidRDefault="00C33B89" w:rsidP="00CA0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Execution electrical schematic</w:t>
            </w:r>
          </w:p>
        </w:tc>
        <w:tc>
          <w:tcPr>
            <w:tcW w:w="3240" w:type="dxa"/>
            <w:vAlign w:val="center"/>
          </w:tcPr>
          <w:p w14:paraId="1D3C9807" w14:textId="48A2EA49" w:rsidR="00C33B89" w:rsidRPr="0028261B" w:rsidRDefault="00C33B89" w:rsidP="00CA0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 xml:space="preserve">According to Annex </w:t>
            </w:r>
            <w:r w:rsidR="00285D33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891B5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70" w:type="dxa"/>
            <w:vAlign w:val="center"/>
          </w:tcPr>
          <w:p w14:paraId="38A115FE" w14:textId="24E8D8C8" w:rsidR="00C33B89" w:rsidRPr="0028261B" w:rsidRDefault="00C33B89" w:rsidP="00C540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35E7431" w14:textId="77777777" w:rsidR="00C33B89" w:rsidRPr="0028261B" w:rsidRDefault="00C33B89" w:rsidP="00C540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5753C82A" w14:textId="381E3FA1" w:rsidTr="481B82AA">
        <w:trPr>
          <w:trHeight w:val="300"/>
        </w:trPr>
        <w:tc>
          <w:tcPr>
            <w:tcW w:w="490" w:type="dxa"/>
            <w:vAlign w:val="center"/>
          </w:tcPr>
          <w:p w14:paraId="73BF91BF" w14:textId="77777777" w:rsidR="00C33B89" w:rsidRPr="0028261B" w:rsidRDefault="00C33B89" w:rsidP="00CA03F3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17474519" w14:textId="5D9140F8" w:rsidR="00C33B89" w:rsidRPr="0028261B" w:rsidRDefault="00C33B89" w:rsidP="00CA0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General warranty period</w:t>
            </w:r>
          </w:p>
        </w:tc>
        <w:tc>
          <w:tcPr>
            <w:tcW w:w="3240" w:type="dxa"/>
            <w:vAlign w:val="center"/>
          </w:tcPr>
          <w:p w14:paraId="24329B89" w14:textId="48271387" w:rsidR="00C33B89" w:rsidRPr="0028261B" w:rsidRDefault="00C33B89" w:rsidP="00CA0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≥ 5 (five years)</w:t>
            </w:r>
            <w:r w:rsidR="00CD35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D350D" w:rsidRPr="00CD350D">
              <w:rPr>
                <w:rFonts w:asciiTheme="minorHAnsi" w:hAnsiTheme="minorHAnsi" w:cstheme="minorHAnsi"/>
                <w:sz w:val="18"/>
                <w:szCs w:val="18"/>
              </w:rPr>
              <w:t>of general warranty for the entire PV system. The warranty should include the due  maintenance to ensure the reliable and efficient operation of the PV system and elimination of defects/malfunctions that occur during the warranty period</w:t>
            </w:r>
          </w:p>
        </w:tc>
        <w:tc>
          <w:tcPr>
            <w:tcW w:w="1170" w:type="dxa"/>
            <w:vAlign w:val="center"/>
          </w:tcPr>
          <w:p w14:paraId="4485AD3D" w14:textId="77777777" w:rsidR="00C33B89" w:rsidRPr="0028261B" w:rsidRDefault="00C33B89" w:rsidP="00C540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B7BE09F" w14:textId="77777777" w:rsidR="00C33B89" w:rsidRPr="0028261B" w:rsidRDefault="00C33B89" w:rsidP="00C540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3C4C3492" w14:textId="71E1B6E7" w:rsidTr="481B82AA">
        <w:trPr>
          <w:trHeight w:val="300"/>
        </w:trPr>
        <w:tc>
          <w:tcPr>
            <w:tcW w:w="490" w:type="dxa"/>
            <w:vAlign w:val="center"/>
          </w:tcPr>
          <w:p w14:paraId="02271248" w14:textId="77777777" w:rsidR="00C33B89" w:rsidRPr="0028261B" w:rsidRDefault="00C33B89" w:rsidP="00CA03F3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2FF4FFB1" w14:textId="2B87F5A0" w:rsidR="00C33B89" w:rsidRPr="0028261B" w:rsidRDefault="00C33B89" w:rsidP="00CA0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Equipment condition</w:t>
            </w:r>
          </w:p>
        </w:tc>
        <w:tc>
          <w:tcPr>
            <w:tcW w:w="3240" w:type="dxa"/>
            <w:vAlign w:val="center"/>
          </w:tcPr>
          <w:p w14:paraId="6501F13B" w14:textId="00F2A6A3" w:rsidR="00C33B89" w:rsidRPr="0028261B" w:rsidRDefault="00C33B89" w:rsidP="00CA0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New, manufactured after the year 2023</w:t>
            </w:r>
          </w:p>
        </w:tc>
        <w:tc>
          <w:tcPr>
            <w:tcW w:w="1170" w:type="dxa"/>
            <w:vAlign w:val="center"/>
          </w:tcPr>
          <w:p w14:paraId="169063AA" w14:textId="77777777" w:rsidR="00C33B89" w:rsidRPr="0028261B" w:rsidRDefault="00C33B89" w:rsidP="00C540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B32A471" w14:textId="77777777" w:rsidR="00C33B89" w:rsidRPr="0028261B" w:rsidRDefault="00C33B89" w:rsidP="00C540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1D6111D2" w14:textId="3EC669E5" w:rsidTr="481B82AA">
        <w:trPr>
          <w:trHeight w:val="300"/>
        </w:trPr>
        <w:tc>
          <w:tcPr>
            <w:tcW w:w="490" w:type="dxa"/>
            <w:vAlign w:val="center"/>
          </w:tcPr>
          <w:p w14:paraId="07A170EA" w14:textId="77777777" w:rsidR="00C33B89" w:rsidRPr="0028261B" w:rsidRDefault="00C33B89" w:rsidP="00914F05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57757468" w14:textId="523EF093" w:rsidR="00C33B89" w:rsidRPr="0028261B" w:rsidRDefault="00C33B89" w:rsidP="00914F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Total power of the panels (DC)</w:t>
            </w:r>
          </w:p>
        </w:tc>
        <w:tc>
          <w:tcPr>
            <w:tcW w:w="3240" w:type="dxa"/>
            <w:vAlign w:val="center"/>
          </w:tcPr>
          <w:p w14:paraId="4FFFAAD9" w14:textId="5DAAF9DA" w:rsidR="00C33B89" w:rsidRPr="0028261B" w:rsidRDefault="00C33B89" w:rsidP="00914F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≥ 140 kWp</w:t>
            </w:r>
          </w:p>
        </w:tc>
        <w:tc>
          <w:tcPr>
            <w:tcW w:w="1170" w:type="dxa"/>
            <w:vAlign w:val="center"/>
          </w:tcPr>
          <w:p w14:paraId="1E4A2458" w14:textId="77777777" w:rsidR="00C33B89" w:rsidRPr="0028261B" w:rsidRDefault="00C33B89" w:rsidP="00C540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5CD93E7F" w14:textId="77777777" w:rsidR="00C33B89" w:rsidRPr="0028261B" w:rsidRDefault="00C33B89" w:rsidP="00C540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661C576B" w14:textId="3FC8BC4F" w:rsidTr="481B82AA">
        <w:trPr>
          <w:trHeight w:val="300"/>
        </w:trPr>
        <w:tc>
          <w:tcPr>
            <w:tcW w:w="490" w:type="dxa"/>
            <w:vAlign w:val="center"/>
          </w:tcPr>
          <w:p w14:paraId="33B5AF6F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5C180F29" w14:textId="4A87BF59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Total energy of the batteries</w:t>
            </w:r>
          </w:p>
        </w:tc>
        <w:tc>
          <w:tcPr>
            <w:tcW w:w="3240" w:type="dxa"/>
            <w:vAlign w:val="center"/>
          </w:tcPr>
          <w:p w14:paraId="220A8FEF" w14:textId="77038D93" w:rsidR="00C33B89" w:rsidRPr="0028261B" w:rsidRDefault="00C33B89" w:rsidP="481B82A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81B82AA">
              <w:rPr>
                <w:rFonts w:asciiTheme="minorHAnsi" w:hAnsiTheme="minorHAnsi" w:cstheme="minorBidi"/>
                <w:sz w:val="18"/>
                <w:szCs w:val="18"/>
              </w:rPr>
              <w:t xml:space="preserve">≥ </w:t>
            </w:r>
            <w:r w:rsidR="00D94CCF">
              <w:rPr>
                <w:rFonts w:asciiTheme="minorHAnsi" w:hAnsiTheme="minorHAnsi" w:cstheme="minorBidi"/>
                <w:sz w:val="18"/>
                <w:szCs w:val="18"/>
              </w:rPr>
              <w:t>164</w:t>
            </w:r>
            <w:r w:rsidRPr="481B82AA">
              <w:rPr>
                <w:rFonts w:asciiTheme="minorHAnsi" w:hAnsiTheme="minorHAnsi" w:cstheme="minorBidi"/>
                <w:sz w:val="18"/>
                <w:szCs w:val="18"/>
              </w:rPr>
              <w:t xml:space="preserve"> kWh</w:t>
            </w:r>
          </w:p>
        </w:tc>
        <w:tc>
          <w:tcPr>
            <w:tcW w:w="1170" w:type="dxa"/>
            <w:vAlign w:val="center"/>
          </w:tcPr>
          <w:p w14:paraId="0A4076DB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2ED00E3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4D47D703" w14:textId="3722260F" w:rsidTr="481B82AA">
        <w:trPr>
          <w:trHeight w:val="300"/>
        </w:trPr>
        <w:tc>
          <w:tcPr>
            <w:tcW w:w="490" w:type="dxa"/>
            <w:vAlign w:val="center"/>
          </w:tcPr>
          <w:p w14:paraId="24BC70FE" w14:textId="1A18DFA2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6C478EA5" w14:textId="43F8800B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Rated power of the inverter (AC)</w:t>
            </w:r>
          </w:p>
        </w:tc>
        <w:tc>
          <w:tcPr>
            <w:tcW w:w="3240" w:type="dxa"/>
            <w:vAlign w:val="center"/>
          </w:tcPr>
          <w:p w14:paraId="10384FFF" w14:textId="7B545D2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4x25=100 kW</w:t>
            </w:r>
          </w:p>
        </w:tc>
        <w:tc>
          <w:tcPr>
            <w:tcW w:w="1170" w:type="dxa"/>
            <w:vAlign w:val="center"/>
          </w:tcPr>
          <w:p w14:paraId="5B61AD72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1ACCC4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029D3F48" w14:textId="69DCA844" w:rsidTr="481B82AA">
        <w:trPr>
          <w:trHeight w:val="300"/>
        </w:trPr>
        <w:tc>
          <w:tcPr>
            <w:tcW w:w="490" w:type="dxa"/>
            <w:vAlign w:val="center"/>
          </w:tcPr>
          <w:p w14:paraId="09D083BD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1F5A9AE4" w14:textId="4E666B55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Panel placement method</w:t>
            </w:r>
          </w:p>
        </w:tc>
        <w:tc>
          <w:tcPr>
            <w:tcW w:w="3240" w:type="dxa"/>
            <w:vAlign w:val="center"/>
          </w:tcPr>
          <w:p w14:paraId="0C744DB2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Metal roofing tile, Positioning</w:t>
            </w:r>
          </w:p>
          <w:p w14:paraId="71F4DD44" w14:textId="71AFB2DB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east – west</w:t>
            </w:r>
            <w:r w:rsidR="00693BCE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C6D6966" wp14:editId="0C71795A">
                  <wp:extent cx="2731135" cy="951230"/>
                  <wp:effectExtent l="0" t="0" r="0" b="1270"/>
                  <wp:docPr id="14951661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14:paraId="59D95BA2" w14:textId="13D12C2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51302E7D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616E170F" w14:textId="155C0BF3" w:rsidTr="481B82AA">
        <w:trPr>
          <w:trHeight w:val="300"/>
        </w:trPr>
        <w:tc>
          <w:tcPr>
            <w:tcW w:w="490" w:type="dxa"/>
            <w:vAlign w:val="center"/>
          </w:tcPr>
          <w:p w14:paraId="083E7BAA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601ACFB8" w14:textId="489281F8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Inverter connection voltage (AC)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9FB110" w14:textId="3CCF69E1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400 V</w:t>
            </w:r>
          </w:p>
        </w:tc>
        <w:tc>
          <w:tcPr>
            <w:tcW w:w="1170" w:type="dxa"/>
            <w:vAlign w:val="center"/>
          </w:tcPr>
          <w:p w14:paraId="2C58B03E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7432BD1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152991DE" w14:textId="3EF18C20" w:rsidTr="481B82AA">
        <w:trPr>
          <w:trHeight w:val="300"/>
        </w:trPr>
        <w:tc>
          <w:tcPr>
            <w:tcW w:w="490" w:type="dxa"/>
            <w:vAlign w:val="center"/>
          </w:tcPr>
          <w:p w14:paraId="6FBDBA4F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5CA151E6" w14:textId="3C73A59C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Neutral grounding system</w:t>
            </w:r>
          </w:p>
        </w:tc>
        <w:tc>
          <w:tcPr>
            <w:tcW w:w="3240" w:type="dxa"/>
            <w:vAlign w:val="center"/>
          </w:tcPr>
          <w:p w14:paraId="33CFBF4B" w14:textId="3452EB60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TN-S</w:t>
            </w:r>
          </w:p>
        </w:tc>
        <w:tc>
          <w:tcPr>
            <w:tcW w:w="1170" w:type="dxa"/>
            <w:vAlign w:val="center"/>
          </w:tcPr>
          <w:p w14:paraId="43EA78D0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5399886E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4A760AF5" w14:textId="611FDDC8" w:rsidTr="481B82AA">
        <w:trPr>
          <w:trHeight w:val="300"/>
        </w:trPr>
        <w:tc>
          <w:tcPr>
            <w:tcW w:w="490" w:type="dxa"/>
            <w:vAlign w:val="center"/>
          </w:tcPr>
          <w:p w14:paraId="1377FAEE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7CE24776" w14:textId="65B387C6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Equipment for technical monitoring, connected to the inverter, with readings displayed in the application</w:t>
            </w:r>
          </w:p>
        </w:tc>
        <w:tc>
          <w:tcPr>
            <w:tcW w:w="3240" w:type="dxa"/>
            <w:vAlign w:val="center"/>
          </w:tcPr>
          <w:p w14:paraId="0FDC7341" w14:textId="0B67FA91" w:rsidR="00C33B89" w:rsidRPr="0028261B" w:rsidRDefault="007F304E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304E">
              <w:rPr>
                <w:rFonts w:asciiTheme="minorHAnsi" w:hAnsiTheme="minorHAnsi" w:cstheme="minorHAnsi"/>
                <w:sz w:val="18"/>
                <w:szCs w:val="18"/>
              </w:rPr>
              <w:t>To be implemented/equipped as required</w:t>
            </w:r>
          </w:p>
        </w:tc>
        <w:tc>
          <w:tcPr>
            <w:tcW w:w="1170" w:type="dxa"/>
            <w:vAlign w:val="center"/>
          </w:tcPr>
          <w:p w14:paraId="173E41FB" w14:textId="5A97902F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E8C1F2B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7B780F17" w14:textId="23AD5705" w:rsidTr="481B82AA">
        <w:trPr>
          <w:trHeight w:val="300"/>
        </w:trPr>
        <w:tc>
          <w:tcPr>
            <w:tcW w:w="490" w:type="dxa"/>
            <w:vAlign w:val="center"/>
          </w:tcPr>
          <w:p w14:paraId="7786DC2B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0BB94FF7" w14:textId="3E4B4ADA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Each panel must be equipped with an optimizer compatible with the inverter (specified in the technical datasheet)</w:t>
            </w:r>
          </w:p>
        </w:tc>
        <w:tc>
          <w:tcPr>
            <w:tcW w:w="3240" w:type="dxa"/>
            <w:vAlign w:val="center"/>
          </w:tcPr>
          <w:p w14:paraId="5F3D7F09" w14:textId="639C02F3" w:rsidR="00C33B89" w:rsidRPr="0028261B" w:rsidRDefault="007F304E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304E">
              <w:rPr>
                <w:rFonts w:asciiTheme="minorHAnsi" w:hAnsiTheme="minorHAnsi" w:cstheme="minorHAnsi"/>
                <w:sz w:val="18"/>
                <w:szCs w:val="18"/>
              </w:rPr>
              <w:t>To be implemented/equipped as required</w:t>
            </w:r>
          </w:p>
        </w:tc>
        <w:tc>
          <w:tcPr>
            <w:tcW w:w="1170" w:type="dxa"/>
            <w:vAlign w:val="center"/>
          </w:tcPr>
          <w:p w14:paraId="553F60F9" w14:textId="038347E0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BF01EED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3043EC78" w14:textId="0506A815" w:rsidTr="481B82AA">
        <w:trPr>
          <w:trHeight w:val="300"/>
        </w:trPr>
        <w:tc>
          <w:tcPr>
            <w:tcW w:w="490" w:type="dxa"/>
            <w:vAlign w:val="center"/>
          </w:tcPr>
          <w:p w14:paraId="6BB7E6F6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09245EAF" w14:textId="5FF67913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 xml:space="preserve">Automatic system for monitoring the operation of the installation (online) of energy consumption and production data, with the ability to schedule the </w:t>
            </w:r>
            <w:r w:rsidRPr="0028261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charging/discharging periods of the batteries, error and alarm indication, accessible to at least 3 users</w:t>
            </w:r>
          </w:p>
        </w:tc>
        <w:tc>
          <w:tcPr>
            <w:tcW w:w="3240" w:type="dxa"/>
            <w:vAlign w:val="center"/>
          </w:tcPr>
          <w:p w14:paraId="53512807" w14:textId="1A5DFDC6" w:rsidR="00C33B89" w:rsidRPr="0028261B" w:rsidRDefault="00FD5A58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5A5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Yes, free of charge, from the inverter manufacturer, on a web platform with free internet access</w:t>
            </w:r>
          </w:p>
        </w:tc>
        <w:tc>
          <w:tcPr>
            <w:tcW w:w="1170" w:type="dxa"/>
            <w:vAlign w:val="center"/>
          </w:tcPr>
          <w:p w14:paraId="6B79872E" w14:textId="5E6905F5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B6AEAFE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2551EC03" w14:textId="6FC0D3B5" w:rsidTr="481B82AA">
        <w:trPr>
          <w:trHeight w:val="300"/>
        </w:trPr>
        <w:tc>
          <w:tcPr>
            <w:tcW w:w="6835" w:type="dxa"/>
            <w:gridSpan w:val="4"/>
            <w:shd w:val="clear" w:color="auto" w:fill="A6A6A6" w:themeFill="background1" w:themeFillShade="A6"/>
            <w:vAlign w:val="center"/>
          </w:tcPr>
          <w:p w14:paraId="7F34BD5F" w14:textId="174EF3E9" w:rsidR="00C33B89" w:rsidRPr="0028261B" w:rsidRDefault="003A0EDE" w:rsidP="00DA33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Equipement</w:t>
            </w:r>
          </w:p>
        </w:tc>
        <w:tc>
          <w:tcPr>
            <w:tcW w:w="3600" w:type="dxa"/>
            <w:shd w:val="clear" w:color="auto" w:fill="A6A6A6" w:themeFill="background1" w:themeFillShade="A6"/>
          </w:tcPr>
          <w:p w14:paraId="5386B32D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3B89" w:rsidRPr="0028261B" w14:paraId="477CB727" w14:textId="42C13AE5" w:rsidTr="481B82AA">
        <w:trPr>
          <w:trHeight w:val="300"/>
        </w:trPr>
        <w:tc>
          <w:tcPr>
            <w:tcW w:w="490" w:type="dxa"/>
            <w:vAlign w:val="center"/>
          </w:tcPr>
          <w:p w14:paraId="0E9A0F60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74C93FE" w14:textId="1F3DBFFC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The commercial energy metering cabinet equipped with a bidirectional meter.</w:t>
            </w:r>
          </w:p>
        </w:tc>
        <w:tc>
          <w:tcPr>
            <w:tcW w:w="3240" w:type="dxa"/>
            <w:vAlign w:val="center"/>
          </w:tcPr>
          <w:p w14:paraId="5FD64100" w14:textId="29C3D556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 xml:space="preserve">Within the limits of </w:t>
            </w:r>
            <w:r w:rsidR="00891B59">
              <w:rPr>
                <w:rFonts w:asciiTheme="minorHAnsi" w:hAnsiTheme="minorHAnsi" w:cstheme="minorHAnsi"/>
                <w:sz w:val="18"/>
                <w:szCs w:val="18"/>
              </w:rPr>
              <w:t xml:space="preserve">Grid connection permit (Annex </w:t>
            </w:r>
            <w:r w:rsidR="000F7FD6">
              <w:rPr>
                <w:rFonts w:asciiTheme="minorHAnsi" w:hAnsiTheme="minorHAnsi" w:cstheme="minorHAnsi"/>
                <w:sz w:val="18"/>
                <w:szCs w:val="18"/>
              </w:rPr>
              <w:t>2.1)</w:t>
            </w:r>
          </w:p>
        </w:tc>
        <w:tc>
          <w:tcPr>
            <w:tcW w:w="1170" w:type="dxa"/>
            <w:vAlign w:val="center"/>
          </w:tcPr>
          <w:p w14:paraId="39889303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9FD4653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6026482F" w14:textId="265C85E7" w:rsidTr="481B82AA">
        <w:trPr>
          <w:trHeight w:val="300"/>
        </w:trPr>
        <w:tc>
          <w:tcPr>
            <w:tcW w:w="490" w:type="dxa"/>
            <w:vAlign w:val="center"/>
          </w:tcPr>
          <w:p w14:paraId="5D5F708B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DD8DAA8" w14:textId="12825A92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Solar panels:</w:t>
            </w:r>
          </w:p>
          <w:p w14:paraId="575A5FBF" w14:textId="3BB28040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Unit power</w:t>
            </w:r>
          </w:p>
          <w:p w14:paraId="54951C4E" w14:textId="58975E8F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Lifespan</w:t>
            </w:r>
          </w:p>
          <w:p w14:paraId="7AC2A7CF" w14:textId="3B80E972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"Active" part</w:t>
            </w:r>
          </w:p>
          <w:p w14:paraId="3306BC07" w14:textId="27EB609A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Module efficiency</w:t>
            </w:r>
          </w:p>
          <w:p w14:paraId="4D7E3E78" w14:textId="2CB2D6D9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Output power tolerance</w:t>
            </w:r>
          </w:p>
          <w:p w14:paraId="58DBCB96" w14:textId="6DD16757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Voltage, current, etc.</w:t>
            </w:r>
          </w:p>
          <w:p w14:paraId="7977731B" w14:textId="77777777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A2F158" w14:textId="77777777" w:rsidR="00011A4D" w:rsidRDefault="00011A4D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FD5157" w14:textId="22089E05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Dimensions</w:t>
            </w:r>
          </w:p>
          <w:p w14:paraId="635D4EA9" w14:textId="77777777" w:rsidR="00011A4D" w:rsidRDefault="00011A4D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64D409" w14:textId="69119A67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Electrical safety class</w:t>
            </w:r>
          </w:p>
          <w:p w14:paraId="7D767114" w14:textId="549D9392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Connecting elements</w:t>
            </w:r>
          </w:p>
          <w:p w14:paraId="13733B10" w14:textId="5A12D86B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IP protection rating</w:t>
            </w:r>
          </w:p>
          <w:p w14:paraId="316D6BF9" w14:textId="7BE7C0E4" w:rsidR="00C33B89" w:rsidRPr="0028261B" w:rsidRDefault="00C33B89" w:rsidP="004734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Weight</w:t>
            </w:r>
          </w:p>
        </w:tc>
        <w:tc>
          <w:tcPr>
            <w:tcW w:w="3240" w:type="dxa"/>
          </w:tcPr>
          <w:p w14:paraId="0202342F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9E797C" w14:textId="6E7E899A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≥ 500;</w:t>
            </w:r>
          </w:p>
          <w:p w14:paraId="3490B117" w14:textId="4A57EA16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≥ 25 years;</w:t>
            </w:r>
          </w:p>
          <w:p w14:paraId="01B56EAB" w14:textId="56D82906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Monocrystalline;</w:t>
            </w:r>
          </w:p>
          <w:p w14:paraId="04EB7A2C" w14:textId="5CB35249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≥ 21%</w:t>
            </w:r>
          </w:p>
          <w:p w14:paraId="0B6B1BB4" w14:textId="351C697C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Variation 0 - 3%</w:t>
            </w:r>
          </w:p>
          <w:p w14:paraId="613873B7" w14:textId="77777777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FE049B" w14:textId="4E50958F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The strings formed must be compatible with the inverter under nominal operating conditions;</w:t>
            </w:r>
          </w:p>
          <w:p w14:paraId="4CB45A3C" w14:textId="7C75CA5E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Within the availability limits of the existing roof space;</w:t>
            </w:r>
          </w:p>
          <w:p w14:paraId="3863C8DC" w14:textId="53B463B3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  <w:p w14:paraId="6E2BBE29" w14:textId="16038890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MC4</w:t>
            </w:r>
          </w:p>
          <w:p w14:paraId="52F3B45A" w14:textId="25E1602F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≥ 67</w:t>
            </w:r>
          </w:p>
          <w:p w14:paraId="4DD40360" w14:textId="6A5AC971" w:rsidR="00C33B89" w:rsidRPr="0028261B" w:rsidRDefault="00C33B89" w:rsidP="00081D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Unlimited (provided that the existing supporting structures can bear the load, which will be reflected in the project’s structural part)</w:t>
            </w:r>
          </w:p>
        </w:tc>
        <w:tc>
          <w:tcPr>
            <w:tcW w:w="1170" w:type="dxa"/>
            <w:vAlign w:val="center"/>
          </w:tcPr>
          <w:p w14:paraId="5992647F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689ABFC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51BD2690" w14:textId="79236986" w:rsidTr="481B82AA">
        <w:trPr>
          <w:trHeight w:val="300"/>
        </w:trPr>
        <w:tc>
          <w:tcPr>
            <w:tcW w:w="490" w:type="dxa"/>
            <w:vAlign w:val="center"/>
          </w:tcPr>
          <w:p w14:paraId="54A865D1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CCCD2F3" w14:textId="77777777" w:rsidR="00DB3CF8" w:rsidRPr="00DB3CF8" w:rsidRDefault="00DB3CF8" w:rsidP="00DB3CF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/>
                <w:sz w:val="18"/>
                <w:szCs w:val="18"/>
              </w:rPr>
              <w:t>Inverter:</w:t>
            </w:r>
          </w:p>
          <w:p w14:paraId="6B438517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Minimum DC input power;</w:t>
            </w:r>
          </w:p>
          <w:p w14:paraId="29708269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Minimum AC output power;</w:t>
            </w:r>
          </w:p>
          <w:p w14:paraId="47034AC0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Minimum DC input for battery (5-42 kWh);</w:t>
            </w:r>
          </w:p>
          <w:p w14:paraId="3A36802A" w14:textId="77777777" w:rsidR="0000185B" w:rsidRDefault="0000185B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A2D8563" w14:textId="1BC6F1CA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Number of DC inputs for battery;</w:t>
            </w:r>
          </w:p>
          <w:p w14:paraId="5F34C948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Number of DC inputs for strings;</w:t>
            </w:r>
          </w:p>
          <w:p w14:paraId="25A9A69C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Number of MPPTs;</w:t>
            </w:r>
          </w:p>
          <w:p w14:paraId="03423FCB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Rated voltage;</w:t>
            </w:r>
          </w:p>
          <w:p w14:paraId="1F95F8A2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77026EF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Rated frequency;</w:t>
            </w:r>
          </w:p>
          <w:p w14:paraId="041D2D0F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Neutral treatment regime;</w:t>
            </w:r>
          </w:p>
          <w:p w14:paraId="01FE9A01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DC/AC overvoltage protection;</w:t>
            </w:r>
          </w:p>
          <w:p w14:paraId="5AA164CC" w14:textId="77777777" w:rsidR="0000185B" w:rsidRDefault="0000185B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43C9913" w14:textId="7ADF1123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Reverse polarity protection;</w:t>
            </w:r>
          </w:p>
          <w:p w14:paraId="63C94C76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C872D8C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Insulation monitoring;</w:t>
            </w:r>
          </w:p>
          <w:p w14:paraId="6289CF15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Internet connection;</w:t>
            </w:r>
          </w:p>
          <w:p w14:paraId="61B15F02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Cloud services;</w:t>
            </w:r>
          </w:p>
          <w:p w14:paraId="6C724025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“On-grid” network connection;</w:t>
            </w:r>
          </w:p>
          <w:p w14:paraId="6EC35E58" w14:textId="5D9778CB" w:rsidR="00DB3CF8" w:rsidRPr="00DB3CF8" w:rsidRDefault="00556817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="00DB3CF8"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ooling;</w:t>
            </w:r>
          </w:p>
          <w:p w14:paraId="29A1C8D7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Outdoor mounting;</w:t>
            </w:r>
          </w:p>
          <w:p w14:paraId="01DE8072" w14:textId="77777777" w:rsidR="00DB3CF8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t>Network connection standard;</w:t>
            </w:r>
          </w:p>
          <w:p w14:paraId="5B56DAF7" w14:textId="1DB4FB10" w:rsidR="00C33B89" w:rsidRPr="00DB3CF8" w:rsidRDefault="00DB3CF8" w:rsidP="00DB3C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CF8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Warranty period;</w:t>
            </w:r>
          </w:p>
        </w:tc>
        <w:tc>
          <w:tcPr>
            <w:tcW w:w="3240" w:type="dxa"/>
          </w:tcPr>
          <w:p w14:paraId="559C3718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FA8588" w14:textId="58C43D70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≥ 37,5 kWp;</w:t>
            </w:r>
          </w:p>
          <w:p w14:paraId="47BDB10F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E1AF3C" w14:textId="08789784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25;</w:t>
            </w:r>
          </w:p>
          <w:p w14:paraId="1AE44232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A5AEB4" w14:textId="1B65D067" w:rsidR="00C33B89" w:rsidRPr="0028261B" w:rsidRDefault="008B38A8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="00C33B89" w:rsidRPr="0028261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69B8B94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A339A5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D0B632" w14:textId="21FBED1D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2;</w:t>
            </w:r>
          </w:p>
          <w:p w14:paraId="0A46B624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10AB95" w14:textId="09CB76E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4;</w:t>
            </w:r>
          </w:p>
          <w:p w14:paraId="593F5267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5D722D" w14:textId="6B7F32C4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2;</w:t>
            </w:r>
          </w:p>
          <w:p w14:paraId="620C8229" w14:textId="1D46748F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400V;</w:t>
            </w:r>
          </w:p>
          <w:p w14:paraId="5478D8CC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EA585B" w14:textId="41CC44D1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50 Hz;</w:t>
            </w:r>
          </w:p>
          <w:p w14:paraId="7D4C5F64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TN-S;</w:t>
            </w:r>
          </w:p>
          <w:p w14:paraId="1D9779EF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F47257" w14:textId="0E4C23EB" w:rsidR="00C33B89" w:rsidRPr="0028261B" w:rsidRDefault="00556817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="00C33B89" w:rsidRPr="0028261B">
              <w:rPr>
                <w:rFonts w:asciiTheme="minorHAnsi" w:hAnsiTheme="minorHAnsi" w:cstheme="minorHAnsi"/>
                <w:sz w:val="18"/>
                <w:szCs w:val="18"/>
              </w:rPr>
              <w:t>, TII;</w:t>
            </w:r>
          </w:p>
          <w:p w14:paraId="3DD36CEA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DEB983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0629D7" w14:textId="07DEE93C" w:rsidR="00C33B89" w:rsidRPr="0028261B" w:rsidRDefault="00556817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="00C33B89" w:rsidRPr="0028261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AA06925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A3BBB3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3ECE08" w14:textId="32E55D03" w:rsidR="00C33B89" w:rsidRPr="0028261B" w:rsidRDefault="00556817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="00C33B89" w:rsidRPr="0028261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872CDB1" w14:textId="5EFF4523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 xml:space="preserve">WLAN </w:t>
            </w:r>
            <w:r w:rsidR="006D670D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 xml:space="preserve"> 4G;</w:t>
            </w:r>
          </w:p>
          <w:p w14:paraId="0749CF67" w14:textId="268BA2E0" w:rsidR="00C33B89" w:rsidRPr="0028261B" w:rsidRDefault="00556817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="00C33B89" w:rsidRPr="0028261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5A65C90" w14:textId="394F21B7" w:rsidR="00C33B89" w:rsidRPr="0028261B" w:rsidRDefault="00556817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="00C33B89" w:rsidRPr="0028261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05A179A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39D85A" w14:textId="2BCD4D5D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Natural;</w:t>
            </w:r>
          </w:p>
          <w:p w14:paraId="282DDEF2" w14:textId="0F5CEF47" w:rsidR="00C33B89" w:rsidRPr="0028261B" w:rsidRDefault="00556817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="00C33B89" w:rsidRPr="0028261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A819AD7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hyperlink r:id="rId12" w:anchor="." w:history="1">
              <w:r w:rsidRPr="0028261B">
                <w:rPr>
                  <w:rFonts w:asciiTheme="minorHAnsi" w:hAnsiTheme="minorHAnsi" w:cstheme="minorHAnsi"/>
                  <w:sz w:val="18"/>
                  <w:szCs w:val="18"/>
                </w:rPr>
                <w:t>SM) EN 50549</w:t>
              </w:r>
            </w:hyperlink>
          </w:p>
          <w:p w14:paraId="78E75904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1B1FFB" w14:textId="58F7F69A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≥ 10 </w:t>
            </w:r>
            <w:r w:rsidR="00556817">
              <w:rPr>
                <w:rFonts w:asciiTheme="minorHAnsi" w:hAnsiTheme="minorHAnsi" w:cstheme="minorHAnsi"/>
                <w:sz w:val="18"/>
                <w:szCs w:val="18"/>
              </w:rPr>
              <w:t>(ten) years</w:t>
            </w:r>
          </w:p>
        </w:tc>
        <w:tc>
          <w:tcPr>
            <w:tcW w:w="1170" w:type="dxa"/>
            <w:vAlign w:val="center"/>
          </w:tcPr>
          <w:p w14:paraId="61A6A963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5E943562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57953C69" w14:textId="71F48AE3" w:rsidTr="481B82AA">
        <w:trPr>
          <w:trHeight w:val="300"/>
        </w:trPr>
        <w:tc>
          <w:tcPr>
            <w:tcW w:w="490" w:type="dxa"/>
            <w:vAlign w:val="center"/>
          </w:tcPr>
          <w:p w14:paraId="3E34A306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FC36D20" w14:textId="77777777" w:rsidR="00AA25D7" w:rsidRPr="00AA25D7" w:rsidRDefault="00AA25D7" w:rsidP="00AA25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25D7">
              <w:rPr>
                <w:rFonts w:asciiTheme="minorHAnsi" w:hAnsiTheme="minorHAnsi" w:cstheme="minorHAnsi"/>
                <w:sz w:val="18"/>
                <w:szCs w:val="18"/>
              </w:rPr>
              <w:t>Batteries</w:t>
            </w:r>
          </w:p>
          <w:p w14:paraId="15D8DBFB" w14:textId="77777777" w:rsidR="00AA25D7" w:rsidRPr="00AA25D7" w:rsidRDefault="00AA25D7" w:rsidP="00AA25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25D7">
              <w:rPr>
                <w:rFonts w:asciiTheme="minorHAnsi" w:hAnsiTheme="minorHAnsi" w:cstheme="minorHAnsi"/>
                <w:sz w:val="18"/>
                <w:szCs w:val="18"/>
              </w:rPr>
              <w:t>Technology;</w:t>
            </w:r>
          </w:p>
          <w:p w14:paraId="1AC4621F" w14:textId="77777777" w:rsidR="00AA25D7" w:rsidRPr="00AA25D7" w:rsidRDefault="00AA25D7" w:rsidP="00AA25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25D7">
              <w:rPr>
                <w:rFonts w:asciiTheme="minorHAnsi" w:hAnsiTheme="minorHAnsi" w:cstheme="minorHAnsi"/>
                <w:sz w:val="18"/>
                <w:szCs w:val="18"/>
              </w:rPr>
              <w:t>Set capacity;</w:t>
            </w:r>
          </w:p>
          <w:p w14:paraId="7AF4F488" w14:textId="77777777" w:rsidR="00AA25D7" w:rsidRPr="00AA25D7" w:rsidRDefault="00AA25D7" w:rsidP="00AA25D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560B3B" w14:textId="77777777" w:rsidR="00AA25D7" w:rsidRPr="00AA25D7" w:rsidRDefault="00AA25D7" w:rsidP="00AA25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25D7">
              <w:rPr>
                <w:rFonts w:asciiTheme="minorHAnsi" w:hAnsiTheme="minorHAnsi" w:cstheme="minorHAnsi"/>
                <w:sz w:val="18"/>
                <w:szCs w:val="18"/>
              </w:rPr>
              <w:t>Maximum charge/discharge power;</w:t>
            </w:r>
          </w:p>
          <w:p w14:paraId="578DE5E6" w14:textId="77777777" w:rsidR="00AA25D7" w:rsidRPr="00AA25D7" w:rsidRDefault="00AA25D7" w:rsidP="00AA25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25D7">
              <w:rPr>
                <w:rFonts w:asciiTheme="minorHAnsi" w:hAnsiTheme="minorHAnsi" w:cstheme="minorHAnsi"/>
                <w:sz w:val="18"/>
                <w:szCs w:val="18"/>
              </w:rPr>
              <w:t>Number of modules in the set;</w:t>
            </w:r>
          </w:p>
          <w:p w14:paraId="5E086023" w14:textId="77777777" w:rsidR="00AA25D7" w:rsidRPr="00AA25D7" w:rsidRDefault="00AA25D7" w:rsidP="00AA25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25D7">
              <w:rPr>
                <w:rFonts w:asciiTheme="minorHAnsi" w:hAnsiTheme="minorHAnsi" w:cstheme="minorHAnsi"/>
                <w:sz w:val="18"/>
                <w:szCs w:val="18"/>
              </w:rPr>
              <w:t>Communication system;</w:t>
            </w:r>
          </w:p>
          <w:p w14:paraId="045F04F6" w14:textId="44B525E1" w:rsidR="00C33B89" w:rsidRPr="00AA25D7" w:rsidRDefault="00AA25D7" w:rsidP="00AA25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A25D7">
              <w:rPr>
                <w:rFonts w:asciiTheme="minorHAnsi" w:hAnsiTheme="minorHAnsi" w:cstheme="minorHAnsi"/>
                <w:sz w:val="18"/>
                <w:szCs w:val="18"/>
              </w:rPr>
              <w:t>Operating temperature;</w:t>
            </w:r>
          </w:p>
        </w:tc>
        <w:tc>
          <w:tcPr>
            <w:tcW w:w="3240" w:type="dxa"/>
          </w:tcPr>
          <w:p w14:paraId="303DFDEA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2BB484" w14:textId="38EDF024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LiFePO4;</w:t>
            </w:r>
          </w:p>
          <w:p w14:paraId="4CB7223F" w14:textId="271E777E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≥ 20,7 kWh;</w:t>
            </w:r>
          </w:p>
          <w:p w14:paraId="48AB8BF7" w14:textId="77777777" w:rsidR="0033590A" w:rsidRDefault="0033590A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827D07" w14:textId="77777777" w:rsidR="0033590A" w:rsidRDefault="0033590A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E66A29" w14:textId="78255D8A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10,5 kW;</w:t>
            </w:r>
          </w:p>
          <w:p w14:paraId="0FED0C10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730CF6" w14:textId="77777777" w:rsidR="0033590A" w:rsidRDefault="0033590A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58ED4F" w14:textId="45036629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3;</w:t>
            </w:r>
          </w:p>
          <w:p w14:paraId="1BC442AB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FFC072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RS485/FE/CAN</w:t>
            </w:r>
          </w:p>
          <w:p w14:paraId="74FCDCA4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CFA528" w14:textId="77777777" w:rsidR="00C33B89" w:rsidRPr="0028261B" w:rsidRDefault="00C33B89" w:rsidP="00DA33D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lang w:val="ro-RO"/>
              </w:rPr>
            </w:pPr>
            <w:r w:rsidRPr="0028261B">
              <w:rPr>
                <w:rFonts w:asciiTheme="minorHAnsi" w:hAnsiTheme="minorHAnsi" w:cstheme="minorHAnsi"/>
                <w:color w:val="auto"/>
                <w:sz w:val="18"/>
                <w:szCs w:val="18"/>
                <w:lang w:val="ro-RO"/>
              </w:rPr>
              <w:t>-20</w:t>
            </w:r>
            <w:r w:rsidRPr="0028261B">
              <w:rPr>
                <w:rFonts w:ascii="Cambria Math" w:hAnsi="Cambria Math" w:cs="Cambria Math"/>
                <w:color w:val="auto"/>
                <w:sz w:val="18"/>
                <w:szCs w:val="18"/>
                <w:lang w:val="ro-RO"/>
              </w:rPr>
              <w:t>℃</w:t>
            </w:r>
            <w:r w:rsidRPr="0028261B">
              <w:rPr>
                <w:rFonts w:asciiTheme="minorHAnsi" w:hAnsiTheme="minorHAnsi" w:cstheme="minorHAnsi"/>
                <w:color w:val="auto"/>
                <w:sz w:val="18"/>
                <w:szCs w:val="18"/>
                <w:lang w:val="ro-RO"/>
              </w:rPr>
              <w:t>to +55</w:t>
            </w:r>
            <w:r w:rsidRPr="0028261B">
              <w:rPr>
                <w:rFonts w:ascii="Cambria Math" w:hAnsi="Cambria Math" w:cs="Cambria Math"/>
                <w:color w:val="auto"/>
                <w:sz w:val="18"/>
                <w:szCs w:val="18"/>
                <w:lang w:val="ro-RO"/>
              </w:rPr>
              <w:t>℃</w:t>
            </w:r>
          </w:p>
          <w:p w14:paraId="4C4DF46F" w14:textId="61848041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A72076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D811402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1CC152DC" w14:textId="4A2C6662" w:rsidTr="481B82AA">
        <w:trPr>
          <w:trHeight w:val="300"/>
        </w:trPr>
        <w:tc>
          <w:tcPr>
            <w:tcW w:w="490" w:type="dxa"/>
            <w:vAlign w:val="center"/>
          </w:tcPr>
          <w:p w14:paraId="0B06AECA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1A6C2DBD" w14:textId="2C7D92EF" w:rsidR="00C33B89" w:rsidRPr="0028261B" w:rsidRDefault="007B7CE2" w:rsidP="00DA33D2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B7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Panel mounting system</w:t>
            </w:r>
          </w:p>
        </w:tc>
        <w:tc>
          <w:tcPr>
            <w:tcW w:w="3240" w:type="dxa"/>
            <w:vAlign w:val="center"/>
          </w:tcPr>
          <w:p w14:paraId="0161B9B6" w14:textId="02D94517" w:rsidR="00737052" w:rsidRPr="00737052" w:rsidRDefault="00737052" w:rsidP="007370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7052">
              <w:rPr>
                <w:rFonts w:asciiTheme="minorHAnsi" w:hAnsiTheme="minorHAnsi" w:cstheme="minorHAnsi"/>
                <w:sz w:val="18"/>
                <w:szCs w:val="18"/>
              </w:rPr>
              <w:t xml:space="preserve">Standardized for roof type “according to pt. </w:t>
            </w:r>
            <w:r w:rsidR="004B565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0F7F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37052">
              <w:rPr>
                <w:rFonts w:asciiTheme="minorHAnsi" w:hAnsiTheme="minorHAnsi" w:cstheme="minorHAnsi"/>
                <w:sz w:val="18"/>
                <w:szCs w:val="18"/>
              </w:rPr>
              <w:t>,”</w:t>
            </w:r>
          </w:p>
          <w:p w14:paraId="43236189" w14:textId="1D1E1A5D" w:rsidR="00C33B89" w:rsidRPr="0028261B" w:rsidRDefault="00737052" w:rsidP="007370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7052">
              <w:rPr>
                <w:rFonts w:asciiTheme="minorHAnsi" w:hAnsiTheme="minorHAnsi" w:cstheme="minorHAnsi"/>
                <w:sz w:val="18"/>
                <w:szCs w:val="18"/>
              </w:rPr>
              <w:t>e.g</w:t>
            </w:r>
            <w:r w:rsidR="00C33B89" w:rsidRPr="0028261B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8A33958" wp14:editId="0699C622">
                  <wp:extent cx="3581400" cy="2056934"/>
                  <wp:effectExtent l="0" t="0" r="0" b="635"/>
                  <wp:docPr id="3237620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6206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451" cy="206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14:paraId="3F618F40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46092A6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1DE889C1" w14:textId="4D6F6BD4" w:rsidTr="481B82AA">
        <w:trPr>
          <w:trHeight w:val="300"/>
        </w:trPr>
        <w:tc>
          <w:tcPr>
            <w:tcW w:w="490" w:type="dxa"/>
            <w:vAlign w:val="center"/>
          </w:tcPr>
          <w:p w14:paraId="706243AE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619A42FB" w14:textId="77777777" w:rsidR="00EF5264" w:rsidRDefault="00EF5264" w:rsidP="00EF526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96E573" w14:textId="1410BFC9" w:rsidR="00EF5264" w:rsidRPr="00EF5264" w:rsidRDefault="00EF5264" w:rsidP="00EF52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5264">
              <w:rPr>
                <w:rFonts w:asciiTheme="minorHAnsi" w:hAnsiTheme="minorHAnsi" w:cstheme="minorHAnsi"/>
                <w:sz w:val="18"/>
                <w:szCs w:val="18"/>
              </w:rPr>
              <w:t>DC cables</w:t>
            </w:r>
          </w:p>
          <w:p w14:paraId="14ED25BA" w14:textId="77777777" w:rsidR="00EF5264" w:rsidRPr="00EF5264" w:rsidRDefault="00EF5264" w:rsidP="00EF526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CD05D8" w14:textId="77777777" w:rsidR="00EF5264" w:rsidRPr="00EF5264" w:rsidRDefault="00EF5264" w:rsidP="00EF526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CB5C68" w14:textId="422E343D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2792A64B" w14:textId="77777777" w:rsidR="005F1F6D" w:rsidRPr="005F1F6D" w:rsidRDefault="005F1F6D" w:rsidP="005F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F6D">
              <w:rPr>
                <w:rFonts w:asciiTheme="minorHAnsi" w:hAnsiTheme="minorHAnsi" w:cstheme="minorHAnsi"/>
                <w:sz w:val="18"/>
                <w:szCs w:val="18"/>
              </w:rPr>
              <w:t>Standardized for photovoltaic systems, colors according to Electrical Installation Regulations pt. 1.1.30,</w:t>
            </w:r>
          </w:p>
          <w:p w14:paraId="08A4AE5E" w14:textId="4002616A" w:rsidR="00C33B89" w:rsidRPr="0028261B" w:rsidRDefault="005F1F6D" w:rsidP="005F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F6D">
              <w:rPr>
                <w:rFonts w:asciiTheme="minorHAnsi" w:hAnsiTheme="minorHAnsi" w:cstheme="minorHAnsi"/>
                <w:sz w:val="18"/>
                <w:szCs w:val="18"/>
              </w:rPr>
              <w:t>S ≥ 6 mm²</w:t>
            </w:r>
            <w:r w:rsidR="00C33B89" w:rsidRPr="0028261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70" w:type="dxa"/>
            <w:vAlign w:val="center"/>
          </w:tcPr>
          <w:p w14:paraId="30C2028C" w14:textId="405D5778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6889156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604138FF" w14:textId="322D3D99" w:rsidTr="481B82AA">
        <w:trPr>
          <w:trHeight w:val="300"/>
        </w:trPr>
        <w:tc>
          <w:tcPr>
            <w:tcW w:w="490" w:type="dxa"/>
            <w:vAlign w:val="center"/>
          </w:tcPr>
          <w:p w14:paraId="7EECE667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614FEAF6" w14:textId="4FB4EB5F" w:rsidR="00C33B89" w:rsidRPr="0028261B" w:rsidRDefault="00224783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4783">
              <w:rPr>
                <w:rFonts w:asciiTheme="minorHAnsi" w:hAnsiTheme="minorHAnsi" w:cstheme="minorHAnsi"/>
                <w:sz w:val="18"/>
                <w:szCs w:val="18"/>
              </w:rPr>
              <w:t>Switching devices, protection devices, and surge protectors (AC/DC)</w:t>
            </w:r>
          </w:p>
        </w:tc>
        <w:tc>
          <w:tcPr>
            <w:tcW w:w="3240" w:type="dxa"/>
            <w:vAlign w:val="center"/>
          </w:tcPr>
          <w:p w14:paraId="51F5CEC9" w14:textId="39A85814" w:rsidR="00C33B89" w:rsidRPr="0028261B" w:rsidRDefault="00944CCC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4CCC">
              <w:rPr>
                <w:rFonts w:asciiTheme="minorHAnsi" w:hAnsiTheme="minorHAnsi" w:cstheme="minorHAnsi"/>
                <w:sz w:val="18"/>
                <w:szCs w:val="18"/>
              </w:rPr>
              <w:t>Standardized for photovoltaic systems, voltages, currents, and types according to the results of string modeling and the recommendations of panel and inverter manufacturers</w:t>
            </w:r>
            <w:r w:rsidR="00C33B89" w:rsidRPr="0028261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70" w:type="dxa"/>
            <w:vAlign w:val="center"/>
          </w:tcPr>
          <w:p w14:paraId="5E0AD2AE" w14:textId="57F1802B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CA0F5D2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4FE09027" w14:textId="77A0DC4E" w:rsidTr="481B82AA">
        <w:trPr>
          <w:trHeight w:val="300"/>
        </w:trPr>
        <w:tc>
          <w:tcPr>
            <w:tcW w:w="490" w:type="dxa"/>
            <w:vAlign w:val="center"/>
          </w:tcPr>
          <w:p w14:paraId="6828058C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6B0289A5" w14:textId="77777777" w:rsidR="002420ED" w:rsidRPr="002420ED" w:rsidRDefault="002420ED" w:rsidP="002420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20ED">
              <w:rPr>
                <w:rFonts w:asciiTheme="minorHAnsi" w:hAnsiTheme="minorHAnsi" w:cstheme="minorHAnsi"/>
                <w:b/>
                <w:sz w:val="18"/>
                <w:szCs w:val="18"/>
              </w:rPr>
              <w:t>Distribution cabinets:</w:t>
            </w:r>
          </w:p>
          <w:p w14:paraId="5B6763DE" w14:textId="77777777" w:rsidR="002420ED" w:rsidRPr="002420ED" w:rsidRDefault="002420ED" w:rsidP="002420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6F2F44" w14:textId="77777777" w:rsidR="002420ED" w:rsidRPr="002420ED" w:rsidRDefault="002420ED" w:rsidP="002420E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20ED">
              <w:rPr>
                <w:rFonts w:asciiTheme="minorHAnsi" w:hAnsiTheme="minorHAnsi" w:cstheme="minorHAnsi"/>
                <w:bCs/>
                <w:sz w:val="18"/>
                <w:szCs w:val="18"/>
              </w:rPr>
              <w:t>Material;</w:t>
            </w:r>
          </w:p>
          <w:p w14:paraId="4C750198" w14:textId="77777777" w:rsidR="002420ED" w:rsidRPr="002420ED" w:rsidRDefault="002420ED" w:rsidP="002420E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CAFF68" w14:textId="77777777" w:rsidR="002420ED" w:rsidRPr="002420ED" w:rsidRDefault="002420ED" w:rsidP="002420E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20ED">
              <w:rPr>
                <w:rFonts w:asciiTheme="minorHAnsi" w:hAnsiTheme="minorHAnsi" w:cstheme="minorHAnsi"/>
                <w:bCs/>
                <w:sz w:val="18"/>
                <w:szCs w:val="18"/>
              </w:rPr>
              <w:t>Method of installation;</w:t>
            </w:r>
          </w:p>
          <w:p w14:paraId="62EB8BAE" w14:textId="77777777" w:rsidR="002420ED" w:rsidRPr="002420ED" w:rsidRDefault="002420ED" w:rsidP="002420E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20ED">
              <w:rPr>
                <w:rFonts w:asciiTheme="minorHAnsi" w:hAnsiTheme="minorHAnsi" w:cstheme="minorHAnsi"/>
                <w:bCs/>
                <w:sz w:val="18"/>
                <w:szCs w:val="18"/>
              </w:rPr>
              <w:t>Number of spare modules (poles);</w:t>
            </w:r>
          </w:p>
          <w:p w14:paraId="09F4E697" w14:textId="77777777" w:rsidR="002420ED" w:rsidRPr="002420ED" w:rsidRDefault="002420ED" w:rsidP="002420E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20ED">
              <w:rPr>
                <w:rFonts w:asciiTheme="minorHAnsi" w:hAnsiTheme="minorHAnsi" w:cstheme="minorHAnsi"/>
                <w:bCs/>
                <w:sz w:val="18"/>
                <w:szCs w:val="18"/>
              </w:rPr>
              <w:t>IP protection rating;</w:t>
            </w:r>
          </w:p>
          <w:p w14:paraId="133EE136" w14:textId="77777777" w:rsidR="002420ED" w:rsidRPr="002420ED" w:rsidRDefault="002420ED" w:rsidP="002420E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269B774" w14:textId="6E5295FD" w:rsidR="00C33B89" w:rsidRPr="0028261B" w:rsidRDefault="002420ED" w:rsidP="002420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20ED">
              <w:rPr>
                <w:rFonts w:asciiTheme="minorHAnsi" w:hAnsiTheme="minorHAnsi" w:cstheme="minorHAnsi"/>
                <w:bCs/>
                <w:sz w:val="18"/>
                <w:szCs w:val="18"/>
              </w:rPr>
              <w:t>IK protection rating.</w:t>
            </w:r>
          </w:p>
        </w:tc>
        <w:tc>
          <w:tcPr>
            <w:tcW w:w="3240" w:type="dxa"/>
          </w:tcPr>
          <w:p w14:paraId="300192A4" w14:textId="2F958980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C8D19D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9977DB" w14:textId="77777777" w:rsidR="004771A4" w:rsidRPr="004771A4" w:rsidRDefault="004771A4" w:rsidP="004771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1A4">
              <w:rPr>
                <w:rFonts w:asciiTheme="minorHAnsi" w:hAnsiTheme="minorHAnsi" w:cstheme="minorHAnsi"/>
                <w:sz w:val="18"/>
                <w:szCs w:val="18"/>
              </w:rPr>
              <w:t>ABS (plastic);</w:t>
            </w:r>
          </w:p>
          <w:p w14:paraId="1597E474" w14:textId="77777777" w:rsidR="004771A4" w:rsidRPr="004771A4" w:rsidRDefault="004771A4" w:rsidP="004771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23EC16" w14:textId="77777777" w:rsidR="004771A4" w:rsidRPr="004771A4" w:rsidRDefault="004771A4" w:rsidP="004771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1A4">
              <w:rPr>
                <w:rFonts w:asciiTheme="minorHAnsi" w:hAnsiTheme="minorHAnsi" w:cstheme="minorHAnsi"/>
                <w:sz w:val="18"/>
                <w:szCs w:val="18"/>
              </w:rPr>
              <w:t>Outdoor;</w:t>
            </w:r>
          </w:p>
          <w:p w14:paraId="129EDC7D" w14:textId="2024FFCE" w:rsidR="00C33B89" w:rsidRPr="0028261B" w:rsidRDefault="004771A4" w:rsidP="004771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71A4">
              <w:rPr>
                <w:rFonts w:asciiTheme="minorHAnsi" w:hAnsiTheme="minorHAnsi" w:cstheme="minorHAnsi"/>
                <w:sz w:val="18"/>
                <w:szCs w:val="18"/>
              </w:rPr>
              <w:t>≥ 30% but not less than 4 modules;</w:t>
            </w:r>
          </w:p>
          <w:p w14:paraId="6F65A6BC" w14:textId="77777777" w:rsidR="004771A4" w:rsidRDefault="004771A4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7D739C" w14:textId="6F88D524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≥ 54;</w:t>
            </w:r>
          </w:p>
          <w:p w14:paraId="590374B9" w14:textId="77777777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AFD70D" w14:textId="70ED41D5" w:rsidR="00C33B89" w:rsidRPr="0028261B" w:rsidRDefault="00C33B89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8261B">
              <w:rPr>
                <w:rFonts w:asciiTheme="minorHAnsi" w:hAnsiTheme="minorHAnsi" w:cstheme="minorHAnsi"/>
                <w:sz w:val="18"/>
                <w:szCs w:val="18"/>
              </w:rPr>
              <w:t>≥10.</w:t>
            </w:r>
          </w:p>
        </w:tc>
        <w:tc>
          <w:tcPr>
            <w:tcW w:w="1170" w:type="dxa"/>
            <w:vAlign w:val="center"/>
          </w:tcPr>
          <w:p w14:paraId="50D9D581" w14:textId="66CEC8D6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1309D6F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0E05CF9D" w14:textId="1A072691" w:rsidTr="481B82AA">
        <w:trPr>
          <w:trHeight w:val="300"/>
        </w:trPr>
        <w:tc>
          <w:tcPr>
            <w:tcW w:w="490" w:type="dxa"/>
            <w:vAlign w:val="center"/>
          </w:tcPr>
          <w:p w14:paraId="481E4E16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4DA687F8" w14:textId="0A1F6CE0" w:rsidR="00C33B89" w:rsidRPr="0028261B" w:rsidRDefault="000B175D" w:rsidP="00DA33D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175D">
              <w:rPr>
                <w:rFonts w:asciiTheme="minorHAnsi" w:hAnsiTheme="minorHAnsi" w:cstheme="minorHAnsi"/>
                <w:bCs/>
                <w:sz w:val="18"/>
                <w:szCs w:val="18"/>
              </w:rPr>
              <w:t>It will be necessary to implement a control and command system for the photovoltaic plant and the storage system to ensure the exclusion of surplus energy delivery to the grid</w:t>
            </w:r>
            <w:r w:rsidR="00A474A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240" w:type="dxa"/>
            <w:vAlign w:val="center"/>
          </w:tcPr>
          <w:p w14:paraId="08BB171B" w14:textId="2AD7ADC3" w:rsidR="00C33B89" w:rsidRPr="0028261B" w:rsidRDefault="00B42D02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2D02">
              <w:rPr>
                <w:rFonts w:asciiTheme="minorHAnsi" w:hAnsiTheme="minorHAnsi" w:cstheme="minorHAnsi"/>
                <w:sz w:val="18"/>
                <w:szCs w:val="18"/>
              </w:rPr>
              <w:t>The works will be carried out using the contractor’s workforce</w:t>
            </w:r>
          </w:p>
        </w:tc>
        <w:tc>
          <w:tcPr>
            <w:tcW w:w="1170" w:type="dxa"/>
            <w:vAlign w:val="center"/>
          </w:tcPr>
          <w:p w14:paraId="0C720A67" w14:textId="25FBA411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1F5F53C2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686E8C3F" w14:textId="5113903C" w:rsidTr="481B82AA">
        <w:trPr>
          <w:trHeight w:val="300"/>
        </w:trPr>
        <w:tc>
          <w:tcPr>
            <w:tcW w:w="490" w:type="dxa"/>
            <w:vAlign w:val="center"/>
          </w:tcPr>
          <w:p w14:paraId="018C1715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63F803E1" w14:textId="48B0B857" w:rsidR="00C33B89" w:rsidRDefault="003077E3" w:rsidP="00DA33D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Assembly and installation</w:t>
            </w:r>
            <w:r w:rsidRPr="00555A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555AA9" w:rsidRPr="00555AA9">
              <w:rPr>
                <w:rFonts w:asciiTheme="minorHAnsi" w:hAnsiTheme="minorHAnsi" w:cstheme="minorHAnsi"/>
                <w:bCs/>
                <w:sz w:val="18"/>
                <w:szCs w:val="18"/>
              </w:rPr>
              <w:t>of specialized equipment room for inverters and accumulators</w:t>
            </w:r>
          </w:p>
          <w:p w14:paraId="765E1F6C" w14:textId="4BCA35D9" w:rsidR="008D1782" w:rsidRPr="008D1782" w:rsidRDefault="008D1782" w:rsidP="00DA33D2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8D178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Construction attached to the building, from sandwich panels (≥ 10 cm of mineral wool), according to fire safety requirements</w:t>
            </w:r>
          </w:p>
        </w:tc>
        <w:tc>
          <w:tcPr>
            <w:tcW w:w="3240" w:type="dxa"/>
            <w:vAlign w:val="center"/>
          </w:tcPr>
          <w:p w14:paraId="13E8652E" w14:textId="206AB816" w:rsidR="00C33B89" w:rsidRPr="0028261B" w:rsidRDefault="00D36D1C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6D1C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3077E3">
              <w:rPr>
                <w:rFonts w:asciiTheme="minorHAnsi" w:hAnsiTheme="minorHAnsi" w:cstheme="minorHAnsi"/>
                <w:sz w:val="18"/>
                <w:szCs w:val="18"/>
              </w:rPr>
              <w:t>services</w:t>
            </w:r>
            <w:r w:rsidR="003077E3" w:rsidRPr="00D36D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6D1C">
              <w:rPr>
                <w:rFonts w:asciiTheme="minorHAnsi" w:hAnsiTheme="minorHAnsi" w:cstheme="minorHAnsi"/>
                <w:sz w:val="18"/>
                <w:szCs w:val="18"/>
              </w:rPr>
              <w:t>will be carried out using the contractor’s own workforce</w:t>
            </w:r>
            <w:r w:rsidR="00B022B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D20166" w:rsidRPr="00D20166">
              <w:rPr>
                <w:rFonts w:asciiTheme="minorHAnsi" w:hAnsiTheme="minorHAnsi" w:cstheme="minorHAnsi"/>
                <w:sz w:val="18"/>
                <w:szCs w:val="18"/>
              </w:rPr>
              <w:t xml:space="preserve">It is designed to be </w:t>
            </w:r>
            <w:r w:rsidR="003077E3">
              <w:rPr>
                <w:rFonts w:asciiTheme="minorHAnsi" w:hAnsiTheme="minorHAnsi" w:cstheme="minorHAnsi"/>
                <w:sz w:val="18"/>
                <w:szCs w:val="18"/>
              </w:rPr>
              <w:t>assembled</w:t>
            </w:r>
            <w:r w:rsidR="003077E3" w:rsidRPr="00D201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0166" w:rsidRPr="00D20166">
              <w:rPr>
                <w:rFonts w:asciiTheme="minorHAnsi" w:hAnsiTheme="minorHAnsi" w:cstheme="minorHAnsi"/>
                <w:sz w:val="18"/>
                <w:szCs w:val="18"/>
              </w:rPr>
              <w:t>on the exterior of the hospital building, attached to the wall at ground level, made of sandwich panels with a thickness of 10–15 cm. The exact dimensions will be determined during the design phase; indicative values: area approximately 10 m², height 2.2–2.5 m</w:t>
            </w:r>
          </w:p>
        </w:tc>
        <w:tc>
          <w:tcPr>
            <w:tcW w:w="1170" w:type="dxa"/>
            <w:vAlign w:val="center"/>
          </w:tcPr>
          <w:p w14:paraId="557E46CA" w14:textId="41D1F059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6911CC5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B89" w:rsidRPr="0028261B" w14:paraId="1295A5C1" w14:textId="7F1CCC40" w:rsidTr="481B82AA">
        <w:trPr>
          <w:trHeight w:val="300"/>
        </w:trPr>
        <w:tc>
          <w:tcPr>
            <w:tcW w:w="490" w:type="dxa"/>
            <w:vAlign w:val="center"/>
          </w:tcPr>
          <w:p w14:paraId="5DF64361" w14:textId="77777777" w:rsidR="00C33B89" w:rsidRPr="0028261B" w:rsidRDefault="00C33B89" w:rsidP="00DA33D2">
            <w:pPr>
              <w:pStyle w:val="ListParagraph"/>
              <w:numPr>
                <w:ilvl w:val="0"/>
                <w:numId w:val="15"/>
              </w:numPr>
              <w:ind w:left="35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4B83CEAF" w14:textId="25EDF40F" w:rsidR="00C33B89" w:rsidRPr="0028261B" w:rsidRDefault="00EE7371" w:rsidP="00DA33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73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Certificate of origin</w:t>
            </w:r>
          </w:p>
        </w:tc>
        <w:tc>
          <w:tcPr>
            <w:tcW w:w="3240" w:type="dxa"/>
          </w:tcPr>
          <w:p w14:paraId="1A9CDF60" w14:textId="14B97BA4" w:rsidR="00C33B89" w:rsidRPr="0028261B" w:rsidRDefault="009F4F6E" w:rsidP="00DA33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F6E">
              <w:rPr>
                <w:rFonts w:asciiTheme="minorHAnsi" w:eastAsia="Times New Roman" w:hAnsiTheme="minorHAnsi" w:cstheme="minorHAnsi"/>
                <w:sz w:val="18"/>
                <w:szCs w:val="18"/>
              </w:rPr>
              <w:t>For the main machinery, equipment, and materials used in the project — panels, inverter, electronic meter, cables, switches, etc</w:t>
            </w:r>
          </w:p>
        </w:tc>
        <w:tc>
          <w:tcPr>
            <w:tcW w:w="1170" w:type="dxa"/>
            <w:vAlign w:val="center"/>
          </w:tcPr>
          <w:p w14:paraId="0F322A83" w14:textId="2DFE6DCF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ED4AD29" w14:textId="77777777" w:rsidR="00C33B89" w:rsidRPr="0028261B" w:rsidRDefault="00C33B89" w:rsidP="00DA33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E31067" w14:textId="340EC451" w:rsidR="00536F15" w:rsidRDefault="00536F15" w:rsidP="000D7487">
      <w:pPr>
        <w:jc w:val="both"/>
        <w:rPr>
          <w:rFonts w:ascii="Times New Roman" w:hAnsi="Times New Roman" w:cs="Times New Roman"/>
        </w:rPr>
      </w:pPr>
    </w:p>
    <w:p w14:paraId="63CA221F" w14:textId="52615459" w:rsidR="009565D4" w:rsidRDefault="009565D4">
      <w:pPr>
        <w:rPr>
          <w:rFonts w:ascii="Times New Roman" w:hAnsi="Times New Roman" w:cs="Times New Roman"/>
          <w:b/>
          <w:sz w:val="28"/>
          <w:lang w:val="ro-MD"/>
        </w:rPr>
      </w:pPr>
    </w:p>
    <w:p w14:paraId="358E1731" w14:textId="7AE26613" w:rsidR="00B06A3B" w:rsidRDefault="00B06A3B" w:rsidP="000D7487">
      <w:pPr>
        <w:jc w:val="both"/>
        <w:rPr>
          <w:rFonts w:ascii="Times New Roman" w:hAnsi="Times New Roman" w:cs="Times New Roman"/>
        </w:rPr>
      </w:pPr>
    </w:p>
    <w:p w14:paraId="44A1E9FF" w14:textId="0875217C" w:rsidR="00E56FA9" w:rsidRDefault="00E56FA9" w:rsidP="00505041">
      <w:pPr>
        <w:jc w:val="right"/>
        <w:rPr>
          <w:rFonts w:ascii="Times New Roman" w:hAnsi="Times New Roman" w:cs="Times New Roman"/>
        </w:rPr>
      </w:pPr>
    </w:p>
    <w:p w14:paraId="3B735EC8" w14:textId="33100789" w:rsidR="00E56FA9" w:rsidRDefault="00E56FA9" w:rsidP="00505041">
      <w:pPr>
        <w:jc w:val="right"/>
        <w:rPr>
          <w:rFonts w:ascii="Times New Roman" w:hAnsi="Times New Roman" w:cs="Times New Roman"/>
        </w:rPr>
      </w:pPr>
    </w:p>
    <w:p w14:paraId="10636F95" w14:textId="08FDE63E" w:rsidR="00E56FA9" w:rsidRDefault="00E56FA9" w:rsidP="00505041">
      <w:pPr>
        <w:jc w:val="right"/>
        <w:rPr>
          <w:rFonts w:ascii="Times New Roman" w:hAnsi="Times New Roman" w:cs="Times New Roman"/>
        </w:rPr>
      </w:pPr>
    </w:p>
    <w:p w14:paraId="72C18B62" w14:textId="0F769957" w:rsidR="00E56FA9" w:rsidRDefault="00E56FA9" w:rsidP="00505041">
      <w:pPr>
        <w:jc w:val="right"/>
        <w:rPr>
          <w:rFonts w:ascii="Times New Roman" w:hAnsi="Times New Roman" w:cs="Times New Roman"/>
        </w:rPr>
      </w:pPr>
    </w:p>
    <w:p w14:paraId="7297B797" w14:textId="61654102" w:rsidR="00E56FA9" w:rsidRDefault="00E56FA9">
      <w:pPr>
        <w:rPr>
          <w:rFonts w:ascii="Times New Roman" w:hAnsi="Times New Roman" w:cs="Times New Roman"/>
        </w:rPr>
      </w:pPr>
    </w:p>
    <w:p w14:paraId="1798AC25" w14:textId="77777777" w:rsidR="00BE10BE" w:rsidRDefault="00BE10BE">
      <w:pPr>
        <w:rPr>
          <w:rFonts w:ascii="Times New Roman" w:hAnsi="Times New Roman" w:cs="Times New Roman"/>
        </w:rPr>
      </w:pPr>
    </w:p>
    <w:p w14:paraId="391BCCD1" w14:textId="77777777" w:rsidR="00BE10BE" w:rsidRDefault="00BE10BE">
      <w:pPr>
        <w:rPr>
          <w:rFonts w:ascii="Times New Roman" w:hAnsi="Times New Roman" w:cs="Times New Roman"/>
        </w:rPr>
      </w:pPr>
    </w:p>
    <w:p w14:paraId="1A03F07F" w14:textId="77777777" w:rsidR="00BE10BE" w:rsidRDefault="00BE10BE">
      <w:pPr>
        <w:rPr>
          <w:rFonts w:ascii="Times New Roman" w:hAnsi="Times New Roman" w:cs="Times New Roman"/>
        </w:rPr>
      </w:pPr>
    </w:p>
    <w:p w14:paraId="13CE1404" w14:textId="77777777" w:rsidR="00BE10BE" w:rsidRDefault="00BE10BE">
      <w:pPr>
        <w:rPr>
          <w:rFonts w:ascii="Times New Roman" w:hAnsi="Times New Roman" w:cs="Times New Roman"/>
        </w:rPr>
      </w:pPr>
    </w:p>
    <w:p w14:paraId="07D2F5A2" w14:textId="77777777" w:rsidR="00BE10BE" w:rsidRDefault="00BE10BE">
      <w:pPr>
        <w:rPr>
          <w:rFonts w:ascii="Times New Roman" w:hAnsi="Times New Roman" w:cs="Times New Roman"/>
        </w:rPr>
      </w:pPr>
    </w:p>
    <w:p w14:paraId="24DC8388" w14:textId="77777777" w:rsidR="00BE10BE" w:rsidRDefault="00BE10BE">
      <w:pPr>
        <w:rPr>
          <w:rFonts w:ascii="Times New Roman" w:hAnsi="Times New Roman" w:cs="Times New Roman"/>
        </w:rPr>
      </w:pPr>
    </w:p>
    <w:p w14:paraId="5DD0630F" w14:textId="77777777" w:rsidR="00BE10BE" w:rsidRDefault="00BE10BE">
      <w:pPr>
        <w:rPr>
          <w:rFonts w:ascii="Times New Roman" w:hAnsi="Times New Roman" w:cs="Times New Roman"/>
        </w:rPr>
      </w:pPr>
    </w:p>
    <w:p w14:paraId="0FE70B8D" w14:textId="77777777" w:rsidR="00BE10BE" w:rsidRDefault="00BE10BE">
      <w:pPr>
        <w:rPr>
          <w:rFonts w:ascii="Times New Roman" w:hAnsi="Times New Roman" w:cs="Times New Roman"/>
        </w:rPr>
      </w:pPr>
    </w:p>
    <w:p w14:paraId="6564615C" w14:textId="53E556A7" w:rsidR="0045255D" w:rsidRDefault="0045255D"/>
    <w:p w14:paraId="4F0154F4" w14:textId="059FFAC7" w:rsidR="00BE10BE" w:rsidRDefault="00BE10BE">
      <w:pPr>
        <w:rPr>
          <w:rFonts w:ascii="Times New Roman" w:hAnsi="Times New Roman" w:cs="Times New Roman"/>
        </w:rPr>
      </w:pPr>
    </w:p>
    <w:p w14:paraId="01E06AB8" w14:textId="77777777" w:rsidR="00BE10BE" w:rsidRDefault="00BE10BE">
      <w:pPr>
        <w:rPr>
          <w:rFonts w:ascii="Times New Roman" w:hAnsi="Times New Roman" w:cs="Times New Roman"/>
        </w:rPr>
      </w:pPr>
    </w:p>
    <w:p w14:paraId="7DD1ED92" w14:textId="203A196A" w:rsidR="00DD60D9" w:rsidRDefault="00DD60D9">
      <w:pPr>
        <w:rPr>
          <w:rFonts w:ascii="Times New Roman" w:hAnsi="Times New Roman" w:cs="Times New Roman"/>
        </w:rPr>
      </w:pPr>
    </w:p>
    <w:sectPr w:rsidR="00DD60D9" w:rsidSect="00C51D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25" w:right="851" w:bottom="993" w:left="851" w:header="142" w:footer="2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9E42" w14:textId="77777777" w:rsidR="002F14AA" w:rsidRDefault="002F14AA" w:rsidP="006F6992">
      <w:r>
        <w:separator/>
      </w:r>
    </w:p>
  </w:endnote>
  <w:endnote w:type="continuationSeparator" w:id="0">
    <w:p w14:paraId="11FB04F7" w14:textId="77777777" w:rsidR="002F14AA" w:rsidRDefault="002F14AA" w:rsidP="006F6992">
      <w:r>
        <w:continuationSeparator/>
      </w:r>
    </w:p>
  </w:endnote>
  <w:endnote w:type="continuationNotice" w:id="1">
    <w:p w14:paraId="47F11217" w14:textId="77777777" w:rsidR="002F14AA" w:rsidRDefault="002F1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uawei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F5B0" w14:textId="77777777" w:rsidR="008320C4" w:rsidRDefault="00832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A02F" w14:textId="77777777" w:rsidR="008320C4" w:rsidRDefault="00832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DDA1" w14:textId="77777777" w:rsidR="008320C4" w:rsidRDefault="00832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E8FA0" w14:textId="77777777" w:rsidR="002F14AA" w:rsidRDefault="002F14AA" w:rsidP="006F6992">
      <w:r>
        <w:separator/>
      </w:r>
    </w:p>
  </w:footnote>
  <w:footnote w:type="continuationSeparator" w:id="0">
    <w:p w14:paraId="6F5E0197" w14:textId="77777777" w:rsidR="002F14AA" w:rsidRDefault="002F14AA" w:rsidP="006F6992">
      <w:r>
        <w:continuationSeparator/>
      </w:r>
    </w:p>
  </w:footnote>
  <w:footnote w:type="continuationNotice" w:id="1">
    <w:p w14:paraId="547B7956" w14:textId="77777777" w:rsidR="002F14AA" w:rsidRDefault="002F1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1496A" w14:textId="77777777" w:rsidR="008320C4" w:rsidRDefault="00832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19A2" w14:textId="77777777" w:rsidR="008320C4" w:rsidRDefault="00E42F63" w:rsidP="006B3BE9">
    <w:pPr>
      <w:pStyle w:val="Header"/>
      <w:tabs>
        <w:tab w:val="clear" w:pos="4680"/>
        <w:tab w:val="clear" w:pos="9360"/>
        <w:tab w:val="right" w:pos="9923"/>
      </w:tabs>
      <w:ind w:left="567"/>
      <w:jc w:val="both"/>
      <w:rPr>
        <w:noProof/>
      </w:rPr>
    </w:pPr>
    <w:r>
      <w:rPr>
        <w:noProof/>
      </w:rPr>
      <w:t xml:space="preserve">  </w:t>
    </w:r>
    <w:r>
      <w:rPr>
        <w:noProof/>
      </w:rPr>
      <w:tab/>
    </w:r>
  </w:p>
  <w:p w14:paraId="60290599" w14:textId="6692297A" w:rsidR="006D5B8E" w:rsidRPr="00E42F63" w:rsidRDefault="00E42F63" w:rsidP="006B3BE9">
    <w:pPr>
      <w:pStyle w:val="Header"/>
      <w:tabs>
        <w:tab w:val="clear" w:pos="4680"/>
        <w:tab w:val="clear" w:pos="9360"/>
        <w:tab w:val="right" w:pos="9923"/>
      </w:tabs>
      <w:ind w:left="567"/>
      <w:jc w:val="both"/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1978" w14:textId="77777777" w:rsidR="008320C4" w:rsidRDefault="00832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77E"/>
    <w:multiLevelType w:val="multilevel"/>
    <w:tmpl w:val="03C6FB56"/>
    <w:lvl w:ilvl="0">
      <w:start w:val="1"/>
      <w:numFmt w:val="decimal"/>
      <w:lvlText w:val="%1."/>
      <w:lvlJc w:val="left"/>
      <w:pPr>
        <w:ind w:left="489" w:hanging="350"/>
      </w:pPr>
      <w:rPr>
        <w:rFonts w:ascii="Arial" w:eastAsia="Arial" w:hAnsi="Arial" w:cs="Arial" w:hint="default"/>
        <w:b/>
        <w:bCs/>
        <w:w w:val="103"/>
        <w:sz w:val="17"/>
        <w:szCs w:val="17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92" w:hanging="414"/>
        <w:jc w:val="right"/>
      </w:pPr>
      <w:rPr>
        <w:rFonts w:ascii="Microsoft Sans Serif" w:eastAsia="Microsoft Sans Serif" w:hAnsi="Microsoft Sans Serif" w:cs="Microsoft Sans Serif" w:hint="default"/>
        <w:w w:val="103"/>
        <w:sz w:val="17"/>
        <w:szCs w:val="17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970" w:hanging="493"/>
      </w:pPr>
      <w:rPr>
        <w:rFonts w:ascii="Microsoft Sans Serif" w:eastAsia="Microsoft Sans Serif" w:hAnsi="Microsoft Sans Serif" w:cs="Microsoft Sans Serif" w:hint="default"/>
        <w:w w:val="103"/>
        <w:sz w:val="17"/>
        <w:szCs w:val="17"/>
        <w:lang w:val="ro-RO" w:eastAsia="en-US" w:bidi="ar-SA"/>
      </w:rPr>
    </w:lvl>
    <w:lvl w:ilvl="3">
      <w:numFmt w:val="bullet"/>
      <w:lvlText w:val="•"/>
      <w:lvlJc w:val="left"/>
      <w:pPr>
        <w:ind w:left="1260" w:hanging="49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20" w:hanging="49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781" w:hanging="49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042" w:hanging="49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303" w:hanging="49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564" w:hanging="493"/>
      </w:pPr>
      <w:rPr>
        <w:rFonts w:hint="default"/>
        <w:lang w:val="ro-RO" w:eastAsia="en-US" w:bidi="ar-SA"/>
      </w:rPr>
    </w:lvl>
  </w:abstractNum>
  <w:abstractNum w:abstractNumId="1" w15:restartNumberingAfterBreak="0">
    <w:nsid w:val="03D66664"/>
    <w:multiLevelType w:val="hybridMultilevel"/>
    <w:tmpl w:val="45A2BFFE"/>
    <w:lvl w:ilvl="0" w:tplc="F2BEF620">
      <w:start w:val="1"/>
      <w:numFmt w:val="decimal"/>
      <w:lvlText w:val="%1."/>
      <w:lvlJc w:val="left"/>
      <w:pPr>
        <w:ind w:left="953" w:hanging="293"/>
        <w:jc w:val="right"/>
      </w:pPr>
      <w:rPr>
        <w:rFonts w:hint="default"/>
        <w:w w:val="100"/>
        <w:lang w:val="ro-RO" w:eastAsia="en-US" w:bidi="ar-SA"/>
      </w:rPr>
    </w:lvl>
    <w:lvl w:ilvl="1" w:tplc="D8724208">
      <w:numFmt w:val="bullet"/>
      <w:lvlText w:val="-"/>
      <w:lvlJc w:val="left"/>
      <w:pPr>
        <w:ind w:left="1310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BE1A5E98">
      <w:numFmt w:val="bullet"/>
      <w:lvlText w:val="•"/>
      <w:lvlJc w:val="left"/>
      <w:pPr>
        <w:ind w:left="2380" w:hanging="358"/>
      </w:pPr>
      <w:rPr>
        <w:rFonts w:hint="default"/>
        <w:lang w:val="ro-RO" w:eastAsia="en-US" w:bidi="ar-SA"/>
      </w:rPr>
    </w:lvl>
    <w:lvl w:ilvl="3" w:tplc="53F8BE20">
      <w:numFmt w:val="bullet"/>
      <w:lvlText w:val="•"/>
      <w:lvlJc w:val="left"/>
      <w:pPr>
        <w:ind w:left="3441" w:hanging="358"/>
      </w:pPr>
      <w:rPr>
        <w:rFonts w:hint="default"/>
        <w:lang w:val="ro-RO" w:eastAsia="en-US" w:bidi="ar-SA"/>
      </w:rPr>
    </w:lvl>
    <w:lvl w:ilvl="4" w:tplc="49441544">
      <w:numFmt w:val="bullet"/>
      <w:lvlText w:val="•"/>
      <w:lvlJc w:val="left"/>
      <w:pPr>
        <w:ind w:left="4502" w:hanging="358"/>
      </w:pPr>
      <w:rPr>
        <w:rFonts w:hint="default"/>
        <w:lang w:val="ro-RO" w:eastAsia="en-US" w:bidi="ar-SA"/>
      </w:rPr>
    </w:lvl>
    <w:lvl w:ilvl="5" w:tplc="1F3CB860">
      <w:numFmt w:val="bullet"/>
      <w:lvlText w:val="•"/>
      <w:lvlJc w:val="left"/>
      <w:pPr>
        <w:ind w:left="5562" w:hanging="358"/>
      </w:pPr>
      <w:rPr>
        <w:rFonts w:hint="default"/>
        <w:lang w:val="ro-RO" w:eastAsia="en-US" w:bidi="ar-SA"/>
      </w:rPr>
    </w:lvl>
    <w:lvl w:ilvl="6" w:tplc="EE027438">
      <w:numFmt w:val="bullet"/>
      <w:lvlText w:val="•"/>
      <w:lvlJc w:val="left"/>
      <w:pPr>
        <w:ind w:left="6623" w:hanging="358"/>
      </w:pPr>
      <w:rPr>
        <w:rFonts w:hint="default"/>
        <w:lang w:val="ro-RO" w:eastAsia="en-US" w:bidi="ar-SA"/>
      </w:rPr>
    </w:lvl>
    <w:lvl w:ilvl="7" w:tplc="E56ABC0C">
      <w:numFmt w:val="bullet"/>
      <w:lvlText w:val="•"/>
      <w:lvlJc w:val="left"/>
      <w:pPr>
        <w:ind w:left="7684" w:hanging="358"/>
      </w:pPr>
      <w:rPr>
        <w:rFonts w:hint="default"/>
        <w:lang w:val="ro-RO" w:eastAsia="en-US" w:bidi="ar-SA"/>
      </w:rPr>
    </w:lvl>
    <w:lvl w:ilvl="8" w:tplc="89D2E846">
      <w:numFmt w:val="bullet"/>
      <w:lvlText w:val="•"/>
      <w:lvlJc w:val="left"/>
      <w:pPr>
        <w:ind w:left="8744" w:hanging="358"/>
      </w:pPr>
      <w:rPr>
        <w:rFonts w:hint="default"/>
        <w:lang w:val="ro-RO" w:eastAsia="en-US" w:bidi="ar-SA"/>
      </w:rPr>
    </w:lvl>
  </w:abstractNum>
  <w:abstractNum w:abstractNumId="2" w15:restartNumberingAfterBreak="0">
    <w:nsid w:val="0A69064D"/>
    <w:multiLevelType w:val="hybridMultilevel"/>
    <w:tmpl w:val="4DB6BDA8"/>
    <w:lvl w:ilvl="0" w:tplc="5D7272E0">
      <w:start w:val="1"/>
      <w:numFmt w:val="decimal"/>
      <w:lvlText w:val="%1."/>
      <w:lvlJc w:val="left"/>
      <w:pPr>
        <w:ind w:left="681" w:hanging="29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u w:val="single" w:color="000000"/>
        <w:lang w:val="ro-RO" w:eastAsia="en-US" w:bidi="ar-SA"/>
      </w:rPr>
    </w:lvl>
    <w:lvl w:ilvl="1" w:tplc="D7DEE2E4">
      <w:numFmt w:val="bullet"/>
      <w:lvlText w:val="•"/>
      <w:lvlJc w:val="left"/>
      <w:pPr>
        <w:ind w:left="1610" w:hanging="296"/>
      </w:pPr>
      <w:rPr>
        <w:rFonts w:hint="default"/>
        <w:lang w:val="ro-RO" w:eastAsia="en-US" w:bidi="ar-SA"/>
      </w:rPr>
    </w:lvl>
    <w:lvl w:ilvl="2" w:tplc="010EEEC8">
      <w:numFmt w:val="bullet"/>
      <w:lvlText w:val="•"/>
      <w:lvlJc w:val="left"/>
      <w:pPr>
        <w:ind w:left="2541" w:hanging="296"/>
      </w:pPr>
      <w:rPr>
        <w:rFonts w:hint="default"/>
        <w:lang w:val="ro-RO" w:eastAsia="en-US" w:bidi="ar-SA"/>
      </w:rPr>
    </w:lvl>
    <w:lvl w:ilvl="3" w:tplc="161A3A76">
      <w:numFmt w:val="bullet"/>
      <w:lvlText w:val="•"/>
      <w:lvlJc w:val="left"/>
      <w:pPr>
        <w:ind w:left="3471" w:hanging="296"/>
      </w:pPr>
      <w:rPr>
        <w:rFonts w:hint="default"/>
        <w:lang w:val="ro-RO" w:eastAsia="en-US" w:bidi="ar-SA"/>
      </w:rPr>
    </w:lvl>
    <w:lvl w:ilvl="4" w:tplc="215AC620">
      <w:numFmt w:val="bullet"/>
      <w:lvlText w:val="•"/>
      <w:lvlJc w:val="left"/>
      <w:pPr>
        <w:ind w:left="4402" w:hanging="296"/>
      </w:pPr>
      <w:rPr>
        <w:rFonts w:hint="default"/>
        <w:lang w:val="ro-RO" w:eastAsia="en-US" w:bidi="ar-SA"/>
      </w:rPr>
    </w:lvl>
    <w:lvl w:ilvl="5" w:tplc="5FCCA70C">
      <w:numFmt w:val="bullet"/>
      <w:lvlText w:val="•"/>
      <w:lvlJc w:val="left"/>
      <w:pPr>
        <w:ind w:left="5332" w:hanging="296"/>
      </w:pPr>
      <w:rPr>
        <w:rFonts w:hint="default"/>
        <w:lang w:val="ro-RO" w:eastAsia="en-US" w:bidi="ar-SA"/>
      </w:rPr>
    </w:lvl>
    <w:lvl w:ilvl="6" w:tplc="E87676AA">
      <w:numFmt w:val="bullet"/>
      <w:lvlText w:val="•"/>
      <w:lvlJc w:val="left"/>
      <w:pPr>
        <w:ind w:left="6263" w:hanging="296"/>
      </w:pPr>
      <w:rPr>
        <w:rFonts w:hint="default"/>
        <w:lang w:val="ro-RO" w:eastAsia="en-US" w:bidi="ar-SA"/>
      </w:rPr>
    </w:lvl>
    <w:lvl w:ilvl="7" w:tplc="BCEACBEE">
      <w:numFmt w:val="bullet"/>
      <w:lvlText w:val="•"/>
      <w:lvlJc w:val="left"/>
      <w:pPr>
        <w:ind w:left="7193" w:hanging="296"/>
      </w:pPr>
      <w:rPr>
        <w:rFonts w:hint="default"/>
        <w:lang w:val="ro-RO" w:eastAsia="en-US" w:bidi="ar-SA"/>
      </w:rPr>
    </w:lvl>
    <w:lvl w:ilvl="8" w:tplc="1F4852AA">
      <w:numFmt w:val="bullet"/>
      <w:lvlText w:val="•"/>
      <w:lvlJc w:val="left"/>
      <w:pPr>
        <w:ind w:left="8124" w:hanging="296"/>
      </w:pPr>
      <w:rPr>
        <w:rFonts w:hint="default"/>
        <w:lang w:val="ro-RO" w:eastAsia="en-US" w:bidi="ar-SA"/>
      </w:rPr>
    </w:lvl>
  </w:abstractNum>
  <w:abstractNum w:abstractNumId="3" w15:restartNumberingAfterBreak="0">
    <w:nsid w:val="0EE80DB8"/>
    <w:multiLevelType w:val="multilevel"/>
    <w:tmpl w:val="06426AE4"/>
    <w:lvl w:ilvl="0">
      <w:start w:val="1"/>
      <w:numFmt w:val="decimal"/>
      <w:lvlText w:val="%1."/>
      <w:lvlJc w:val="left"/>
      <w:pPr>
        <w:ind w:left="490" w:hanging="350"/>
      </w:pPr>
      <w:rPr>
        <w:rFonts w:ascii="Microsoft Sans Serif" w:eastAsia="Microsoft Sans Serif" w:hAnsi="Microsoft Sans Serif" w:cs="Microsoft Sans Serif" w:hint="default"/>
        <w:w w:val="103"/>
        <w:sz w:val="17"/>
        <w:szCs w:val="17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10" w:hanging="352"/>
      </w:pPr>
      <w:rPr>
        <w:rFonts w:ascii="Microsoft Sans Serif" w:eastAsia="Microsoft Sans Serif" w:hAnsi="Microsoft Sans Serif" w:cs="Microsoft Sans Serif" w:hint="default"/>
        <w:spacing w:val="-2"/>
        <w:w w:val="103"/>
        <w:sz w:val="17"/>
        <w:szCs w:val="17"/>
        <w:lang w:val="ro-RO" w:eastAsia="en-US" w:bidi="ar-SA"/>
      </w:rPr>
    </w:lvl>
    <w:lvl w:ilvl="2">
      <w:numFmt w:val="bullet"/>
      <w:lvlText w:val="•"/>
      <w:lvlJc w:val="left"/>
      <w:pPr>
        <w:ind w:left="1938" w:hanging="35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56" w:hanging="35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75" w:hanging="35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93" w:hanging="35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12" w:hanging="35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030" w:hanging="35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49" w:hanging="352"/>
      </w:pPr>
      <w:rPr>
        <w:rFonts w:hint="default"/>
        <w:lang w:val="ro-RO" w:eastAsia="en-US" w:bidi="ar-SA"/>
      </w:rPr>
    </w:lvl>
  </w:abstractNum>
  <w:abstractNum w:abstractNumId="4" w15:restartNumberingAfterBreak="0">
    <w:nsid w:val="15FE6F2B"/>
    <w:multiLevelType w:val="hybridMultilevel"/>
    <w:tmpl w:val="247CF4DC"/>
    <w:lvl w:ilvl="0" w:tplc="5EA0A58A">
      <w:start w:val="1"/>
      <w:numFmt w:val="decimal"/>
      <w:lvlText w:val="%1."/>
      <w:lvlJc w:val="left"/>
      <w:pPr>
        <w:ind w:left="681" w:hanging="3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o-RO" w:eastAsia="en-US" w:bidi="ar-SA"/>
      </w:rPr>
    </w:lvl>
    <w:lvl w:ilvl="1" w:tplc="1F6CCE9A">
      <w:numFmt w:val="bullet"/>
      <w:lvlText w:val="•"/>
      <w:lvlJc w:val="left"/>
      <w:pPr>
        <w:ind w:left="1610" w:hanging="320"/>
      </w:pPr>
      <w:rPr>
        <w:rFonts w:hint="default"/>
        <w:lang w:val="ro-RO" w:eastAsia="en-US" w:bidi="ar-SA"/>
      </w:rPr>
    </w:lvl>
    <w:lvl w:ilvl="2" w:tplc="85581994">
      <w:numFmt w:val="bullet"/>
      <w:lvlText w:val="•"/>
      <w:lvlJc w:val="left"/>
      <w:pPr>
        <w:ind w:left="2541" w:hanging="320"/>
      </w:pPr>
      <w:rPr>
        <w:rFonts w:hint="default"/>
        <w:lang w:val="ro-RO" w:eastAsia="en-US" w:bidi="ar-SA"/>
      </w:rPr>
    </w:lvl>
    <w:lvl w:ilvl="3" w:tplc="83BAF322">
      <w:numFmt w:val="bullet"/>
      <w:lvlText w:val="•"/>
      <w:lvlJc w:val="left"/>
      <w:pPr>
        <w:ind w:left="3471" w:hanging="320"/>
      </w:pPr>
      <w:rPr>
        <w:rFonts w:hint="default"/>
        <w:lang w:val="ro-RO" w:eastAsia="en-US" w:bidi="ar-SA"/>
      </w:rPr>
    </w:lvl>
    <w:lvl w:ilvl="4" w:tplc="139802E4">
      <w:numFmt w:val="bullet"/>
      <w:lvlText w:val="•"/>
      <w:lvlJc w:val="left"/>
      <w:pPr>
        <w:ind w:left="4402" w:hanging="320"/>
      </w:pPr>
      <w:rPr>
        <w:rFonts w:hint="default"/>
        <w:lang w:val="ro-RO" w:eastAsia="en-US" w:bidi="ar-SA"/>
      </w:rPr>
    </w:lvl>
    <w:lvl w:ilvl="5" w:tplc="41ACE048">
      <w:numFmt w:val="bullet"/>
      <w:lvlText w:val="•"/>
      <w:lvlJc w:val="left"/>
      <w:pPr>
        <w:ind w:left="5332" w:hanging="320"/>
      </w:pPr>
      <w:rPr>
        <w:rFonts w:hint="default"/>
        <w:lang w:val="ro-RO" w:eastAsia="en-US" w:bidi="ar-SA"/>
      </w:rPr>
    </w:lvl>
    <w:lvl w:ilvl="6" w:tplc="CE7872DA">
      <w:numFmt w:val="bullet"/>
      <w:lvlText w:val="•"/>
      <w:lvlJc w:val="left"/>
      <w:pPr>
        <w:ind w:left="6263" w:hanging="320"/>
      </w:pPr>
      <w:rPr>
        <w:rFonts w:hint="default"/>
        <w:lang w:val="ro-RO" w:eastAsia="en-US" w:bidi="ar-SA"/>
      </w:rPr>
    </w:lvl>
    <w:lvl w:ilvl="7" w:tplc="AD0674D4">
      <w:numFmt w:val="bullet"/>
      <w:lvlText w:val="•"/>
      <w:lvlJc w:val="left"/>
      <w:pPr>
        <w:ind w:left="7193" w:hanging="320"/>
      </w:pPr>
      <w:rPr>
        <w:rFonts w:hint="default"/>
        <w:lang w:val="ro-RO" w:eastAsia="en-US" w:bidi="ar-SA"/>
      </w:rPr>
    </w:lvl>
    <w:lvl w:ilvl="8" w:tplc="63A2D1B2">
      <w:numFmt w:val="bullet"/>
      <w:lvlText w:val="•"/>
      <w:lvlJc w:val="left"/>
      <w:pPr>
        <w:ind w:left="8124" w:hanging="320"/>
      </w:pPr>
      <w:rPr>
        <w:rFonts w:hint="default"/>
        <w:lang w:val="ro-RO" w:eastAsia="en-US" w:bidi="ar-SA"/>
      </w:rPr>
    </w:lvl>
  </w:abstractNum>
  <w:abstractNum w:abstractNumId="5" w15:restartNumberingAfterBreak="0">
    <w:nsid w:val="1A41670F"/>
    <w:multiLevelType w:val="hybridMultilevel"/>
    <w:tmpl w:val="D906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77350"/>
    <w:multiLevelType w:val="hybridMultilevel"/>
    <w:tmpl w:val="4D7C14BE"/>
    <w:lvl w:ilvl="0" w:tplc="3448F9B0">
      <w:start w:val="1"/>
      <w:numFmt w:val="lowerLetter"/>
      <w:lvlText w:val="%1)"/>
      <w:lvlJc w:val="left"/>
      <w:pPr>
        <w:ind w:left="92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AA46456">
      <w:numFmt w:val="bullet"/>
      <w:lvlText w:val="•"/>
      <w:lvlJc w:val="left"/>
      <w:pPr>
        <w:ind w:left="1826" w:hanging="247"/>
      </w:pPr>
      <w:rPr>
        <w:rFonts w:hint="default"/>
        <w:lang w:val="ro-RO" w:eastAsia="en-US" w:bidi="ar-SA"/>
      </w:rPr>
    </w:lvl>
    <w:lvl w:ilvl="2" w:tplc="BAD87BF2">
      <w:numFmt w:val="bullet"/>
      <w:lvlText w:val="•"/>
      <w:lvlJc w:val="left"/>
      <w:pPr>
        <w:ind w:left="2733" w:hanging="247"/>
      </w:pPr>
      <w:rPr>
        <w:rFonts w:hint="default"/>
        <w:lang w:val="ro-RO" w:eastAsia="en-US" w:bidi="ar-SA"/>
      </w:rPr>
    </w:lvl>
    <w:lvl w:ilvl="3" w:tplc="97C4CBF2">
      <w:numFmt w:val="bullet"/>
      <w:lvlText w:val="•"/>
      <w:lvlJc w:val="left"/>
      <w:pPr>
        <w:ind w:left="3639" w:hanging="247"/>
      </w:pPr>
      <w:rPr>
        <w:rFonts w:hint="default"/>
        <w:lang w:val="ro-RO" w:eastAsia="en-US" w:bidi="ar-SA"/>
      </w:rPr>
    </w:lvl>
    <w:lvl w:ilvl="4" w:tplc="965A8444">
      <w:numFmt w:val="bullet"/>
      <w:lvlText w:val="•"/>
      <w:lvlJc w:val="left"/>
      <w:pPr>
        <w:ind w:left="4546" w:hanging="247"/>
      </w:pPr>
      <w:rPr>
        <w:rFonts w:hint="default"/>
        <w:lang w:val="ro-RO" w:eastAsia="en-US" w:bidi="ar-SA"/>
      </w:rPr>
    </w:lvl>
    <w:lvl w:ilvl="5" w:tplc="C5C0D3A8">
      <w:numFmt w:val="bullet"/>
      <w:lvlText w:val="•"/>
      <w:lvlJc w:val="left"/>
      <w:pPr>
        <w:ind w:left="5452" w:hanging="247"/>
      </w:pPr>
      <w:rPr>
        <w:rFonts w:hint="default"/>
        <w:lang w:val="ro-RO" w:eastAsia="en-US" w:bidi="ar-SA"/>
      </w:rPr>
    </w:lvl>
    <w:lvl w:ilvl="6" w:tplc="9002184E">
      <w:numFmt w:val="bullet"/>
      <w:lvlText w:val="•"/>
      <w:lvlJc w:val="left"/>
      <w:pPr>
        <w:ind w:left="6359" w:hanging="247"/>
      </w:pPr>
      <w:rPr>
        <w:rFonts w:hint="default"/>
        <w:lang w:val="ro-RO" w:eastAsia="en-US" w:bidi="ar-SA"/>
      </w:rPr>
    </w:lvl>
    <w:lvl w:ilvl="7" w:tplc="EC9E055C">
      <w:numFmt w:val="bullet"/>
      <w:lvlText w:val="•"/>
      <w:lvlJc w:val="left"/>
      <w:pPr>
        <w:ind w:left="7265" w:hanging="247"/>
      </w:pPr>
      <w:rPr>
        <w:rFonts w:hint="default"/>
        <w:lang w:val="ro-RO" w:eastAsia="en-US" w:bidi="ar-SA"/>
      </w:rPr>
    </w:lvl>
    <w:lvl w:ilvl="8" w:tplc="03425334">
      <w:numFmt w:val="bullet"/>
      <w:lvlText w:val="•"/>
      <w:lvlJc w:val="left"/>
      <w:pPr>
        <w:ind w:left="8172" w:hanging="247"/>
      </w:pPr>
      <w:rPr>
        <w:rFonts w:hint="default"/>
        <w:lang w:val="ro-RO" w:eastAsia="en-US" w:bidi="ar-SA"/>
      </w:rPr>
    </w:lvl>
  </w:abstractNum>
  <w:abstractNum w:abstractNumId="7" w15:restartNumberingAfterBreak="0">
    <w:nsid w:val="248B20AB"/>
    <w:multiLevelType w:val="hybridMultilevel"/>
    <w:tmpl w:val="2D78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426C"/>
    <w:multiLevelType w:val="hybridMultilevel"/>
    <w:tmpl w:val="BA887F62"/>
    <w:lvl w:ilvl="0" w:tplc="1AC41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92EE3"/>
    <w:multiLevelType w:val="hybridMultilevel"/>
    <w:tmpl w:val="12824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23D2C"/>
    <w:multiLevelType w:val="hybridMultilevel"/>
    <w:tmpl w:val="10329CB4"/>
    <w:lvl w:ilvl="0" w:tplc="0419000D">
      <w:start w:val="1"/>
      <w:numFmt w:val="bullet"/>
      <w:lvlText w:val=""/>
      <w:lvlJc w:val="left"/>
      <w:pPr>
        <w:ind w:left="16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1" w15:restartNumberingAfterBreak="0">
    <w:nsid w:val="399D0CED"/>
    <w:multiLevelType w:val="hybridMultilevel"/>
    <w:tmpl w:val="2D78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C184F"/>
    <w:multiLevelType w:val="hybridMultilevel"/>
    <w:tmpl w:val="51824772"/>
    <w:lvl w:ilvl="0" w:tplc="C4044478">
      <w:start w:val="1"/>
      <w:numFmt w:val="decimal"/>
      <w:lvlText w:val="%1."/>
      <w:lvlJc w:val="left"/>
      <w:pPr>
        <w:ind w:left="681" w:hanging="320"/>
        <w:jc w:val="right"/>
      </w:pPr>
      <w:rPr>
        <w:rFonts w:ascii="Times New Roman" w:eastAsia="Times New Roman" w:hAnsi="Times New Roman" w:cs="Times New Roman" w:hint="default"/>
        <w:w w:val="91"/>
        <w:sz w:val="16"/>
        <w:szCs w:val="16"/>
        <w:lang w:val="ro-RO" w:eastAsia="en-US" w:bidi="ar-SA"/>
      </w:rPr>
    </w:lvl>
    <w:lvl w:ilvl="1" w:tplc="6EA87CF0">
      <w:numFmt w:val="bullet"/>
      <w:lvlText w:val="-"/>
      <w:lvlJc w:val="left"/>
      <w:pPr>
        <w:ind w:left="681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u w:val="none"/>
        <w:lang w:val="ro-RO" w:eastAsia="en-US" w:bidi="ar-SA"/>
      </w:rPr>
    </w:lvl>
    <w:lvl w:ilvl="2" w:tplc="299CCCCE">
      <w:numFmt w:val="bullet"/>
      <w:lvlText w:val="•"/>
      <w:lvlJc w:val="left"/>
      <w:pPr>
        <w:ind w:left="1838" w:hanging="148"/>
      </w:pPr>
      <w:rPr>
        <w:rFonts w:hint="default"/>
        <w:lang w:val="ro-RO" w:eastAsia="en-US" w:bidi="ar-SA"/>
      </w:rPr>
    </w:lvl>
    <w:lvl w:ilvl="3" w:tplc="9098953E">
      <w:numFmt w:val="bullet"/>
      <w:lvlText w:val="•"/>
      <w:lvlJc w:val="left"/>
      <w:pPr>
        <w:ind w:left="2856" w:hanging="148"/>
      </w:pPr>
      <w:rPr>
        <w:rFonts w:hint="default"/>
        <w:lang w:val="ro-RO" w:eastAsia="en-US" w:bidi="ar-SA"/>
      </w:rPr>
    </w:lvl>
    <w:lvl w:ilvl="4" w:tplc="F0E2BC68">
      <w:numFmt w:val="bullet"/>
      <w:lvlText w:val="•"/>
      <w:lvlJc w:val="left"/>
      <w:pPr>
        <w:ind w:left="3875" w:hanging="148"/>
      </w:pPr>
      <w:rPr>
        <w:rFonts w:hint="default"/>
        <w:lang w:val="ro-RO" w:eastAsia="en-US" w:bidi="ar-SA"/>
      </w:rPr>
    </w:lvl>
    <w:lvl w:ilvl="5" w:tplc="8FA8900A">
      <w:numFmt w:val="bullet"/>
      <w:lvlText w:val="•"/>
      <w:lvlJc w:val="left"/>
      <w:pPr>
        <w:ind w:left="4893" w:hanging="148"/>
      </w:pPr>
      <w:rPr>
        <w:rFonts w:hint="default"/>
        <w:lang w:val="ro-RO" w:eastAsia="en-US" w:bidi="ar-SA"/>
      </w:rPr>
    </w:lvl>
    <w:lvl w:ilvl="6" w:tplc="31EC93F6">
      <w:numFmt w:val="bullet"/>
      <w:lvlText w:val="•"/>
      <w:lvlJc w:val="left"/>
      <w:pPr>
        <w:ind w:left="5912" w:hanging="148"/>
      </w:pPr>
      <w:rPr>
        <w:rFonts w:hint="default"/>
        <w:lang w:val="ro-RO" w:eastAsia="en-US" w:bidi="ar-SA"/>
      </w:rPr>
    </w:lvl>
    <w:lvl w:ilvl="7" w:tplc="EC40D734">
      <w:numFmt w:val="bullet"/>
      <w:lvlText w:val="•"/>
      <w:lvlJc w:val="left"/>
      <w:pPr>
        <w:ind w:left="6930" w:hanging="148"/>
      </w:pPr>
      <w:rPr>
        <w:rFonts w:hint="default"/>
        <w:lang w:val="ro-RO" w:eastAsia="en-US" w:bidi="ar-SA"/>
      </w:rPr>
    </w:lvl>
    <w:lvl w:ilvl="8" w:tplc="8C6EE77C">
      <w:numFmt w:val="bullet"/>
      <w:lvlText w:val="•"/>
      <w:lvlJc w:val="left"/>
      <w:pPr>
        <w:ind w:left="7948" w:hanging="148"/>
      </w:pPr>
      <w:rPr>
        <w:rFonts w:hint="default"/>
        <w:lang w:val="ro-RO" w:eastAsia="en-US" w:bidi="ar-SA"/>
      </w:rPr>
    </w:lvl>
  </w:abstractNum>
  <w:abstractNum w:abstractNumId="13" w15:restartNumberingAfterBreak="0">
    <w:nsid w:val="48D01A29"/>
    <w:multiLevelType w:val="hybridMultilevel"/>
    <w:tmpl w:val="D94836FC"/>
    <w:lvl w:ilvl="0" w:tplc="57421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D39B4"/>
    <w:multiLevelType w:val="hybridMultilevel"/>
    <w:tmpl w:val="DFDA61A6"/>
    <w:lvl w:ilvl="0" w:tplc="7C9CECE2">
      <w:start w:val="1"/>
      <w:numFmt w:val="lowerLetter"/>
      <w:lvlText w:val="%1)"/>
      <w:lvlJc w:val="left"/>
      <w:pPr>
        <w:ind w:left="92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07A4F8E">
      <w:numFmt w:val="bullet"/>
      <w:lvlText w:val="•"/>
      <w:lvlJc w:val="left"/>
      <w:pPr>
        <w:ind w:left="1826" w:hanging="247"/>
      </w:pPr>
      <w:rPr>
        <w:rFonts w:hint="default"/>
        <w:lang w:val="ro-RO" w:eastAsia="en-US" w:bidi="ar-SA"/>
      </w:rPr>
    </w:lvl>
    <w:lvl w:ilvl="2" w:tplc="6302C26A">
      <w:numFmt w:val="bullet"/>
      <w:lvlText w:val="•"/>
      <w:lvlJc w:val="left"/>
      <w:pPr>
        <w:ind w:left="2733" w:hanging="247"/>
      </w:pPr>
      <w:rPr>
        <w:rFonts w:hint="default"/>
        <w:lang w:val="ro-RO" w:eastAsia="en-US" w:bidi="ar-SA"/>
      </w:rPr>
    </w:lvl>
    <w:lvl w:ilvl="3" w:tplc="167E365E">
      <w:numFmt w:val="bullet"/>
      <w:lvlText w:val="•"/>
      <w:lvlJc w:val="left"/>
      <w:pPr>
        <w:ind w:left="3639" w:hanging="247"/>
      </w:pPr>
      <w:rPr>
        <w:rFonts w:hint="default"/>
        <w:lang w:val="ro-RO" w:eastAsia="en-US" w:bidi="ar-SA"/>
      </w:rPr>
    </w:lvl>
    <w:lvl w:ilvl="4" w:tplc="356E06CA">
      <w:numFmt w:val="bullet"/>
      <w:lvlText w:val="•"/>
      <w:lvlJc w:val="left"/>
      <w:pPr>
        <w:ind w:left="4546" w:hanging="247"/>
      </w:pPr>
      <w:rPr>
        <w:rFonts w:hint="default"/>
        <w:lang w:val="ro-RO" w:eastAsia="en-US" w:bidi="ar-SA"/>
      </w:rPr>
    </w:lvl>
    <w:lvl w:ilvl="5" w:tplc="BFD0359E">
      <w:numFmt w:val="bullet"/>
      <w:lvlText w:val="•"/>
      <w:lvlJc w:val="left"/>
      <w:pPr>
        <w:ind w:left="5452" w:hanging="247"/>
      </w:pPr>
      <w:rPr>
        <w:rFonts w:hint="default"/>
        <w:lang w:val="ro-RO" w:eastAsia="en-US" w:bidi="ar-SA"/>
      </w:rPr>
    </w:lvl>
    <w:lvl w:ilvl="6" w:tplc="3BB04A26">
      <w:numFmt w:val="bullet"/>
      <w:lvlText w:val="•"/>
      <w:lvlJc w:val="left"/>
      <w:pPr>
        <w:ind w:left="6359" w:hanging="247"/>
      </w:pPr>
      <w:rPr>
        <w:rFonts w:hint="default"/>
        <w:lang w:val="ro-RO" w:eastAsia="en-US" w:bidi="ar-SA"/>
      </w:rPr>
    </w:lvl>
    <w:lvl w:ilvl="7" w:tplc="245C3402">
      <w:numFmt w:val="bullet"/>
      <w:lvlText w:val="•"/>
      <w:lvlJc w:val="left"/>
      <w:pPr>
        <w:ind w:left="7265" w:hanging="247"/>
      </w:pPr>
      <w:rPr>
        <w:rFonts w:hint="default"/>
        <w:lang w:val="ro-RO" w:eastAsia="en-US" w:bidi="ar-SA"/>
      </w:rPr>
    </w:lvl>
    <w:lvl w:ilvl="8" w:tplc="AE6CECF0">
      <w:numFmt w:val="bullet"/>
      <w:lvlText w:val="•"/>
      <w:lvlJc w:val="left"/>
      <w:pPr>
        <w:ind w:left="8172" w:hanging="247"/>
      </w:pPr>
      <w:rPr>
        <w:rFonts w:hint="default"/>
        <w:lang w:val="ro-RO" w:eastAsia="en-US" w:bidi="ar-SA"/>
      </w:rPr>
    </w:lvl>
  </w:abstractNum>
  <w:abstractNum w:abstractNumId="15" w15:restartNumberingAfterBreak="0">
    <w:nsid w:val="5C805203"/>
    <w:multiLevelType w:val="hybridMultilevel"/>
    <w:tmpl w:val="B672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B">
      <w:start w:val="1"/>
      <w:numFmt w:val="lowerRoman"/>
      <w:lvlText w:val="%2."/>
      <w:lvlJc w:val="right"/>
      <w:pPr>
        <w:ind w:left="1440" w:hanging="360"/>
      </w:pPr>
    </w:lvl>
    <w:lvl w:ilvl="2" w:tplc="E5A2FF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85217"/>
    <w:multiLevelType w:val="hybridMultilevel"/>
    <w:tmpl w:val="EDF6A91E"/>
    <w:lvl w:ilvl="0" w:tplc="8A486216">
      <w:start w:val="1"/>
      <w:numFmt w:val="lowerLetter"/>
      <w:lvlText w:val="%1)"/>
      <w:lvlJc w:val="left"/>
      <w:pPr>
        <w:ind w:left="898" w:hanging="207"/>
      </w:pPr>
      <w:rPr>
        <w:rFonts w:ascii="Microsoft Sans Serif" w:eastAsia="Microsoft Sans Serif" w:hAnsi="Microsoft Sans Serif" w:cs="Microsoft Sans Serif" w:hint="default"/>
        <w:w w:val="103"/>
        <w:sz w:val="17"/>
        <w:szCs w:val="17"/>
        <w:lang w:val="ro-RO" w:eastAsia="en-US" w:bidi="ar-SA"/>
      </w:rPr>
    </w:lvl>
    <w:lvl w:ilvl="1" w:tplc="4FAABE9A">
      <w:numFmt w:val="bullet"/>
      <w:lvlText w:val="•"/>
      <w:lvlJc w:val="left"/>
      <w:pPr>
        <w:ind w:left="1818" w:hanging="207"/>
      </w:pPr>
      <w:rPr>
        <w:rFonts w:hint="default"/>
        <w:lang w:val="ro-RO" w:eastAsia="en-US" w:bidi="ar-SA"/>
      </w:rPr>
    </w:lvl>
    <w:lvl w:ilvl="2" w:tplc="C36A64F2">
      <w:numFmt w:val="bullet"/>
      <w:lvlText w:val="•"/>
      <w:lvlJc w:val="left"/>
      <w:pPr>
        <w:ind w:left="2737" w:hanging="207"/>
      </w:pPr>
      <w:rPr>
        <w:rFonts w:hint="default"/>
        <w:lang w:val="ro-RO" w:eastAsia="en-US" w:bidi="ar-SA"/>
      </w:rPr>
    </w:lvl>
    <w:lvl w:ilvl="3" w:tplc="2A1CCC36">
      <w:numFmt w:val="bullet"/>
      <w:lvlText w:val="•"/>
      <w:lvlJc w:val="left"/>
      <w:pPr>
        <w:ind w:left="3655" w:hanging="207"/>
      </w:pPr>
      <w:rPr>
        <w:rFonts w:hint="default"/>
        <w:lang w:val="ro-RO" w:eastAsia="en-US" w:bidi="ar-SA"/>
      </w:rPr>
    </w:lvl>
    <w:lvl w:ilvl="4" w:tplc="E1E495AA">
      <w:numFmt w:val="bullet"/>
      <w:lvlText w:val="•"/>
      <w:lvlJc w:val="left"/>
      <w:pPr>
        <w:ind w:left="4574" w:hanging="207"/>
      </w:pPr>
      <w:rPr>
        <w:rFonts w:hint="default"/>
        <w:lang w:val="ro-RO" w:eastAsia="en-US" w:bidi="ar-SA"/>
      </w:rPr>
    </w:lvl>
    <w:lvl w:ilvl="5" w:tplc="29CC042A">
      <w:numFmt w:val="bullet"/>
      <w:lvlText w:val="•"/>
      <w:lvlJc w:val="left"/>
      <w:pPr>
        <w:ind w:left="5493" w:hanging="207"/>
      </w:pPr>
      <w:rPr>
        <w:rFonts w:hint="default"/>
        <w:lang w:val="ro-RO" w:eastAsia="en-US" w:bidi="ar-SA"/>
      </w:rPr>
    </w:lvl>
    <w:lvl w:ilvl="6" w:tplc="3C68AFCA">
      <w:numFmt w:val="bullet"/>
      <w:lvlText w:val="•"/>
      <w:lvlJc w:val="left"/>
      <w:pPr>
        <w:ind w:left="6411" w:hanging="207"/>
      </w:pPr>
      <w:rPr>
        <w:rFonts w:hint="default"/>
        <w:lang w:val="ro-RO" w:eastAsia="en-US" w:bidi="ar-SA"/>
      </w:rPr>
    </w:lvl>
    <w:lvl w:ilvl="7" w:tplc="8B0A6CBE">
      <w:numFmt w:val="bullet"/>
      <w:lvlText w:val="•"/>
      <w:lvlJc w:val="left"/>
      <w:pPr>
        <w:ind w:left="7330" w:hanging="207"/>
      </w:pPr>
      <w:rPr>
        <w:rFonts w:hint="default"/>
        <w:lang w:val="ro-RO" w:eastAsia="en-US" w:bidi="ar-SA"/>
      </w:rPr>
    </w:lvl>
    <w:lvl w:ilvl="8" w:tplc="32D2059E">
      <w:numFmt w:val="bullet"/>
      <w:lvlText w:val="•"/>
      <w:lvlJc w:val="left"/>
      <w:pPr>
        <w:ind w:left="8249" w:hanging="207"/>
      </w:pPr>
      <w:rPr>
        <w:rFonts w:hint="default"/>
        <w:lang w:val="ro-RO" w:eastAsia="en-US" w:bidi="ar-SA"/>
      </w:rPr>
    </w:lvl>
  </w:abstractNum>
  <w:abstractNum w:abstractNumId="17" w15:restartNumberingAfterBreak="0">
    <w:nsid w:val="71C6164E"/>
    <w:multiLevelType w:val="hybridMultilevel"/>
    <w:tmpl w:val="CC5A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A696F"/>
    <w:multiLevelType w:val="hybridMultilevel"/>
    <w:tmpl w:val="F96C53D0"/>
    <w:lvl w:ilvl="0" w:tplc="04190017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6" w:hanging="360"/>
      </w:pPr>
    </w:lvl>
    <w:lvl w:ilvl="2" w:tplc="0419001B">
      <w:start w:val="1"/>
      <w:numFmt w:val="lowerRoman"/>
      <w:lvlText w:val="%3."/>
      <w:lvlJc w:val="right"/>
      <w:pPr>
        <w:ind w:left="1806" w:hanging="180"/>
      </w:pPr>
    </w:lvl>
    <w:lvl w:ilvl="3" w:tplc="0419000F">
      <w:start w:val="1"/>
      <w:numFmt w:val="decimal"/>
      <w:lvlText w:val="%4."/>
      <w:lvlJc w:val="left"/>
      <w:pPr>
        <w:ind w:left="2526" w:hanging="360"/>
      </w:pPr>
    </w:lvl>
    <w:lvl w:ilvl="4" w:tplc="CEC05708">
      <w:start w:val="1"/>
      <w:numFmt w:val="lowerLetter"/>
      <w:lvlText w:val="%5)"/>
      <w:lvlJc w:val="left"/>
      <w:pPr>
        <w:ind w:left="3246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2100059158">
    <w:abstractNumId w:val="10"/>
  </w:num>
  <w:num w:numId="2" w16cid:durableId="1490555510">
    <w:abstractNumId w:val="1"/>
  </w:num>
  <w:num w:numId="3" w16cid:durableId="1657881010">
    <w:abstractNumId w:val="3"/>
  </w:num>
  <w:num w:numId="4" w16cid:durableId="1632006998">
    <w:abstractNumId w:val="16"/>
  </w:num>
  <w:num w:numId="5" w16cid:durableId="529489599">
    <w:abstractNumId w:val="0"/>
  </w:num>
  <w:num w:numId="6" w16cid:durableId="1585871259">
    <w:abstractNumId w:val="4"/>
  </w:num>
  <w:num w:numId="7" w16cid:durableId="713122699">
    <w:abstractNumId w:val="2"/>
  </w:num>
  <w:num w:numId="8" w16cid:durableId="1394499164">
    <w:abstractNumId w:val="14"/>
  </w:num>
  <w:num w:numId="9" w16cid:durableId="347027748">
    <w:abstractNumId w:val="6"/>
  </w:num>
  <w:num w:numId="10" w16cid:durableId="1114400413">
    <w:abstractNumId w:val="12"/>
  </w:num>
  <w:num w:numId="11" w16cid:durableId="1150947441">
    <w:abstractNumId w:val="15"/>
  </w:num>
  <w:num w:numId="12" w16cid:durableId="2054839722">
    <w:abstractNumId w:val="18"/>
  </w:num>
  <w:num w:numId="13" w16cid:durableId="331764636">
    <w:abstractNumId w:val="9"/>
  </w:num>
  <w:num w:numId="14" w16cid:durableId="1542282255">
    <w:abstractNumId w:val="5"/>
  </w:num>
  <w:num w:numId="15" w16cid:durableId="974334343">
    <w:abstractNumId w:val="17"/>
  </w:num>
  <w:num w:numId="16" w16cid:durableId="853228334">
    <w:abstractNumId w:val="8"/>
  </w:num>
  <w:num w:numId="17" w16cid:durableId="1302614933">
    <w:abstractNumId w:val="11"/>
  </w:num>
  <w:num w:numId="18" w16cid:durableId="114981179">
    <w:abstractNumId w:val="7"/>
  </w:num>
  <w:num w:numId="19" w16cid:durableId="147980348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B4"/>
    <w:rsid w:val="000001AB"/>
    <w:rsid w:val="0000185B"/>
    <w:rsid w:val="00003276"/>
    <w:rsid w:val="00006A47"/>
    <w:rsid w:val="00011A4D"/>
    <w:rsid w:val="00012F1A"/>
    <w:rsid w:val="00020E96"/>
    <w:rsid w:val="000211CB"/>
    <w:rsid w:val="00021F04"/>
    <w:rsid w:val="00023EDD"/>
    <w:rsid w:val="00027042"/>
    <w:rsid w:val="0003133C"/>
    <w:rsid w:val="0003519A"/>
    <w:rsid w:val="00037B21"/>
    <w:rsid w:val="00040B6C"/>
    <w:rsid w:val="00040F66"/>
    <w:rsid w:val="0004136C"/>
    <w:rsid w:val="00044818"/>
    <w:rsid w:val="000471E4"/>
    <w:rsid w:val="00047489"/>
    <w:rsid w:val="000508D8"/>
    <w:rsid w:val="0006037E"/>
    <w:rsid w:val="00064030"/>
    <w:rsid w:val="000647E6"/>
    <w:rsid w:val="00073EA4"/>
    <w:rsid w:val="00081D95"/>
    <w:rsid w:val="000A561D"/>
    <w:rsid w:val="000A5A79"/>
    <w:rsid w:val="000B175D"/>
    <w:rsid w:val="000B2424"/>
    <w:rsid w:val="000B466F"/>
    <w:rsid w:val="000B48EF"/>
    <w:rsid w:val="000C4681"/>
    <w:rsid w:val="000C7D0C"/>
    <w:rsid w:val="000D3CA6"/>
    <w:rsid w:val="000D3F00"/>
    <w:rsid w:val="000D5A33"/>
    <w:rsid w:val="000D6C0C"/>
    <w:rsid w:val="000D7487"/>
    <w:rsid w:val="000D7E2D"/>
    <w:rsid w:val="000E14C0"/>
    <w:rsid w:val="000E7D84"/>
    <w:rsid w:val="000F0A4A"/>
    <w:rsid w:val="000F3536"/>
    <w:rsid w:val="000F6811"/>
    <w:rsid w:val="000F7BF5"/>
    <w:rsid w:val="000F7FD6"/>
    <w:rsid w:val="00100E9F"/>
    <w:rsid w:val="001015DA"/>
    <w:rsid w:val="00104AD6"/>
    <w:rsid w:val="00106421"/>
    <w:rsid w:val="00124EB3"/>
    <w:rsid w:val="0013170F"/>
    <w:rsid w:val="00133841"/>
    <w:rsid w:val="00136DC1"/>
    <w:rsid w:val="001423B9"/>
    <w:rsid w:val="00143E60"/>
    <w:rsid w:val="00144131"/>
    <w:rsid w:val="00151E49"/>
    <w:rsid w:val="00154322"/>
    <w:rsid w:val="00156AD3"/>
    <w:rsid w:val="00171AC1"/>
    <w:rsid w:val="0017495D"/>
    <w:rsid w:val="00192F59"/>
    <w:rsid w:val="00195064"/>
    <w:rsid w:val="001A08AA"/>
    <w:rsid w:val="001A0D20"/>
    <w:rsid w:val="001A0EB8"/>
    <w:rsid w:val="001A288F"/>
    <w:rsid w:val="001A372E"/>
    <w:rsid w:val="001A4802"/>
    <w:rsid w:val="001A576C"/>
    <w:rsid w:val="001A6C10"/>
    <w:rsid w:val="001B4F22"/>
    <w:rsid w:val="001C2C58"/>
    <w:rsid w:val="001C6990"/>
    <w:rsid w:val="001C6D04"/>
    <w:rsid w:val="001C78F4"/>
    <w:rsid w:val="001D0CDB"/>
    <w:rsid w:val="001D1C0F"/>
    <w:rsid w:val="001D7BCC"/>
    <w:rsid w:val="001E550C"/>
    <w:rsid w:val="001F1C2F"/>
    <w:rsid w:val="0020138B"/>
    <w:rsid w:val="00201508"/>
    <w:rsid w:val="00206DFF"/>
    <w:rsid w:val="0021151D"/>
    <w:rsid w:val="00214DF2"/>
    <w:rsid w:val="002156AA"/>
    <w:rsid w:val="00215719"/>
    <w:rsid w:val="00216718"/>
    <w:rsid w:val="00221F2A"/>
    <w:rsid w:val="00224783"/>
    <w:rsid w:val="00233A3E"/>
    <w:rsid w:val="0023517A"/>
    <w:rsid w:val="00235A4A"/>
    <w:rsid w:val="0024068E"/>
    <w:rsid w:val="00242081"/>
    <w:rsid w:val="002420ED"/>
    <w:rsid w:val="00246BB6"/>
    <w:rsid w:val="002479C6"/>
    <w:rsid w:val="00253ADE"/>
    <w:rsid w:val="002546CB"/>
    <w:rsid w:val="00261105"/>
    <w:rsid w:val="0026540F"/>
    <w:rsid w:val="00265D6C"/>
    <w:rsid w:val="002712BF"/>
    <w:rsid w:val="00273097"/>
    <w:rsid w:val="00277C70"/>
    <w:rsid w:val="0028114F"/>
    <w:rsid w:val="0028261B"/>
    <w:rsid w:val="00285988"/>
    <w:rsid w:val="00285D33"/>
    <w:rsid w:val="0029103C"/>
    <w:rsid w:val="00292832"/>
    <w:rsid w:val="002A08C5"/>
    <w:rsid w:val="002A6CB5"/>
    <w:rsid w:val="002A6DB0"/>
    <w:rsid w:val="002C27A3"/>
    <w:rsid w:val="002C2E4B"/>
    <w:rsid w:val="002C36B2"/>
    <w:rsid w:val="002C474A"/>
    <w:rsid w:val="002C52EA"/>
    <w:rsid w:val="002D2BD2"/>
    <w:rsid w:val="002D3E67"/>
    <w:rsid w:val="002E044A"/>
    <w:rsid w:val="002E296F"/>
    <w:rsid w:val="002E381E"/>
    <w:rsid w:val="002E7246"/>
    <w:rsid w:val="002F14AA"/>
    <w:rsid w:val="002F1C5D"/>
    <w:rsid w:val="002F2EC0"/>
    <w:rsid w:val="002F3E40"/>
    <w:rsid w:val="002F5085"/>
    <w:rsid w:val="002F783C"/>
    <w:rsid w:val="002F7EFD"/>
    <w:rsid w:val="00300244"/>
    <w:rsid w:val="00300547"/>
    <w:rsid w:val="00304003"/>
    <w:rsid w:val="003077E3"/>
    <w:rsid w:val="00307F12"/>
    <w:rsid w:val="00313970"/>
    <w:rsid w:val="00320656"/>
    <w:rsid w:val="00323A4F"/>
    <w:rsid w:val="00333F70"/>
    <w:rsid w:val="0033590A"/>
    <w:rsid w:val="00341DF6"/>
    <w:rsid w:val="003422E2"/>
    <w:rsid w:val="003431B8"/>
    <w:rsid w:val="0034389B"/>
    <w:rsid w:val="00357FF9"/>
    <w:rsid w:val="0036251B"/>
    <w:rsid w:val="0036565E"/>
    <w:rsid w:val="003743D3"/>
    <w:rsid w:val="00375F2C"/>
    <w:rsid w:val="00376B12"/>
    <w:rsid w:val="00380A2A"/>
    <w:rsid w:val="00381E25"/>
    <w:rsid w:val="00385B10"/>
    <w:rsid w:val="00387ACC"/>
    <w:rsid w:val="003945AC"/>
    <w:rsid w:val="003963FB"/>
    <w:rsid w:val="003A0EDE"/>
    <w:rsid w:val="003A3059"/>
    <w:rsid w:val="003A636E"/>
    <w:rsid w:val="003B54B7"/>
    <w:rsid w:val="003B6293"/>
    <w:rsid w:val="003C42B8"/>
    <w:rsid w:val="003C7FBA"/>
    <w:rsid w:val="003D3158"/>
    <w:rsid w:val="003D608D"/>
    <w:rsid w:val="003D6671"/>
    <w:rsid w:val="003D6E5B"/>
    <w:rsid w:val="003E2AF4"/>
    <w:rsid w:val="00400FCC"/>
    <w:rsid w:val="00403BDE"/>
    <w:rsid w:val="004102A4"/>
    <w:rsid w:val="0041621F"/>
    <w:rsid w:val="00417871"/>
    <w:rsid w:val="004244B5"/>
    <w:rsid w:val="0042726F"/>
    <w:rsid w:val="0043201A"/>
    <w:rsid w:val="004329C3"/>
    <w:rsid w:val="00443E24"/>
    <w:rsid w:val="00443EB6"/>
    <w:rsid w:val="0044597C"/>
    <w:rsid w:val="00451175"/>
    <w:rsid w:val="0045255D"/>
    <w:rsid w:val="004561E1"/>
    <w:rsid w:val="00465E13"/>
    <w:rsid w:val="004734A5"/>
    <w:rsid w:val="00475CCE"/>
    <w:rsid w:val="004771A4"/>
    <w:rsid w:val="00480C7D"/>
    <w:rsid w:val="0048135A"/>
    <w:rsid w:val="004879C8"/>
    <w:rsid w:val="004920E9"/>
    <w:rsid w:val="00493392"/>
    <w:rsid w:val="00496EB2"/>
    <w:rsid w:val="004A1AED"/>
    <w:rsid w:val="004A52FB"/>
    <w:rsid w:val="004A70A9"/>
    <w:rsid w:val="004B39AD"/>
    <w:rsid w:val="004B5392"/>
    <w:rsid w:val="004B565F"/>
    <w:rsid w:val="004B5771"/>
    <w:rsid w:val="004B73E0"/>
    <w:rsid w:val="004B7983"/>
    <w:rsid w:val="004C44EB"/>
    <w:rsid w:val="004C5DAD"/>
    <w:rsid w:val="004C7EBC"/>
    <w:rsid w:val="004D0614"/>
    <w:rsid w:val="004D1F0D"/>
    <w:rsid w:val="004D7811"/>
    <w:rsid w:val="004E0BA7"/>
    <w:rsid w:val="004E3D3F"/>
    <w:rsid w:val="004E52F1"/>
    <w:rsid w:val="004E6842"/>
    <w:rsid w:val="004F492A"/>
    <w:rsid w:val="004F5B09"/>
    <w:rsid w:val="00504073"/>
    <w:rsid w:val="00505041"/>
    <w:rsid w:val="00513356"/>
    <w:rsid w:val="005138A0"/>
    <w:rsid w:val="00516B0A"/>
    <w:rsid w:val="005173AC"/>
    <w:rsid w:val="00522656"/>
    <w:rsid w:val="00535F34"/>
    <w:rsid w:val="00536F15"/>
    <w:rsid w:val="00537613"/>
    <w:rsid w:val="00555905"/>
    <w:rsid w:val="00555AA9"/>
    <w:rsid w:val="00556817"/>
    <w:rsid w:val="00557795"/>
    <w:rsid w:val="005601B8"/>
    <w:rsid w:val="00571B34"/>
    <w:rsid w:val="00572E22"/>
    <w:rsid w:val="00575537"/>
    <w:rsid w:val="005817A9"/>
    <w:rsid w:val="00587E0D"/>
    <w:rsid w:val="00590A51"/>
    <w:rsid w:val="00590BA4"/>
    <w:rsid w:val="00592C50"/>
    <w:rsid w:val="0059636F"/>
    <w:rsid w:val="00596863"/>
    <w:rsid w:val="005A0A03"/>
    <w:rsid w:val="005A2C17"/>
    <w:rsid w:val="005A3F14"/>
    <w:rsid w:val="005A5849"/>
    <w:rsid w:val="005A5D3A"/>
    <w:rsid w:val="005A619D"/>
    <w:rsid w:val="005B1E08"/>
    <w:rsid w:val="005B3F02"/>
    <w:rsid w:val="005C30B3"/>
    <w:rsid w:val="005D039F"/>
    <w:rsid w:val="005E2006"/>
    <w:rsid w:val="005E538B"/>
    <w:rsid w:val="005E7FDC"/>
    <w:rsid w:val="005F0D6E"/>
    <w:rsid w:val="005F1F6D"/>
    <w:rsid w:val="005F3BC7"/>
    <w:rsid w:val="005F67A2"/>
    <w:rsid w:val="0060411F"/>
    <w:rsid w:val="00610E37"/>
    <w:rsid w:val="00613687"/>
    <w:rsid w:val="006157DA"/>
    <w:rsid w:val="00620445"/>
    <w:rsid w:val="00621C0F"/>
    <w:rsid w:val="00621FBF"/>
    <w:rsid w:val="0062294E"/>
    <w:rsid w:val="00622AB0"/>
    <w:rsid w:val="0063068E"/>
    <w:rsid w:val="006417DD"/>
    <w:rsid w:val="00641E39"/>
    <w:rsid w:val="00643B7C"/>
    <w:rsid w:val="006462AE"/>
    <w:rsid w:val="00655726"/>
    <w:rsid w:val="0065670B"/>
    <w:rsid w:val="006573FC"/>
    <w:rsid w:val="00664B42"/>
    <w:rsid w:val="00665716"/>
    <w:rsid w:val="00665D8A"/>
    <w:rsid w:val="00673C0F"/>
    <w:rsid w:val="006828C8"/>
    <w:rsid w:val="00682F11"/>
    <w:rsid w:val="00685BE4"/>
    <w:rsid w:val="00686D83"/>
    <w:rsid w:val="00693BCE"/>
    <w:rsid w:val="006970E0"/>
    <w:rsid w:val="00697BDC"/>
    <w:rsid w:val="006A5D21"/>
    <w:rsid w:val="006B16D4"/>
    <w:rsid w:val="006B3BE9"/>
    <w:rsid w:val="006C2FAC"/>
    <w:rsid w:val="006C4050"/>
    <w:rsid w:val="006C6DE2"/>
    <w:rsid w:val="006D46B5"/>
    <w:rsid w:val="006D5B8E"/>
    <w:rsid w:val="006D670D"/>
    <w:rsid w:val="006E1020"/>
    <w:rsid w:val="006E381D"/>
    <w:rsid w:val="006E7A21"/>
    <w:rsid w:val="006F5B45"/>
    <w:rsid w:val="006F6992"/>
    <w:rsid w:val="006F6DBB"/>
    <w:rsid w:val="00702B9F"/>
    <w:rsid w:val="00710432"/>
    <w:rsid w:val="00711F76"/>
    <w:rsid w:val="00712F2B"/>
    <w:rsid w:val="0071378D"/>
    <w:rsid w:val="00713E48"/>
    <w:rsid w:val="00714090"/>
    <w:rsid w:val="00714704"/>
    <w:rsid w:val="007152C6"/>
    <w:rsid w:val="007172E0"/>
    <w:rsid w:val="00720105"/>
    <w:rsid w:val="00721BB9"/>
    <w:rsid w:val="007279FD"/>
    <w:rsid w:val="00731227"/>
    <w:rsid w:val="00732A42"/>
    <w:rsid w:val="00737052"/>
    <w:rsid w:val="00755BD9"/>
    <w:rsid w:val="00762199"/>
    <w:rsid w:val="00765E98"/>
    <w:rsid w:val="007705A9"/>
    <w:rsid w:val="007734DD"/>
    <w:rsid w:val="007827A2"/>
    <w:rsid w:val="00797A5A"/>
    <w:rsid w:val="00797D54"/>
    <w:rsid w:val="007A3802"/>
    <w:rsid w:val="007A46E3"/>
    <w:rsid w:val="007A54E4"/>
    <w:rsid w:val="007B4677"/>
    <w:rsid w:val="007B5036"/>
    <w:rsid w:val="007B7CE2"/>
    <w:rsid w:val="007C071F"/>
    <w:rsid w:val="007C2E70"/>
    <w:rsid w:val="007C3CF6"/>
    <w:rsid w:val="007C578B"/>
    <w:rsid w:val="007C63CC"/>
    <w:rsid w:val="007C7103"/>
    <w:rsid w:val="007D21D5"/>
    <w:rsid w:val="007D290A"/>
    <w:rsid w:val="007D6547"/>
    <w:rsid w:val="007D7087"/>
    <w:rsid w:val="007E2B08"/>
    <w:rsid w:val="007E2F97"/>
    <w:rsid w:val="007E5653"/>
    <w:rsid w:val="007F234E"/>
    <w:rsid w:val="007F304E"/>
    <w:rsid w:val="007F59ED"/>
    <w:rsid w:val="007F6FA6"/>
    <w:rsid w:val="00801D65"/>
    <w:rsid w:val="00802FC4"/>
    <w:rsid w:val="0080487F"/>
    <w:rsid w:val="00820AB0"/>
    <w:rsid w:val="008248D1"/>
    <w:rsid w:val="008320C4"/>
    <w:rsid w:val="0083271F"/>
    <w:rsid w:val="00840B3E"/>
    <w:rsid w:val="008478F1"/>
    <w:rsid w:val="008521B0"/>
    <w:rsid w:val="008526E2"/>
    <w:rsid w:val="00856E27"/>
    <w:rsid w:val="008575CB"/>
    <w:rsid w:val="00860151"/>
    <w:rsid w:val="00863184"/>
    <w:rsid w:val="008642DA"/>
    <w:rsid w:val="008645FE"/>
    <w:rsid w:val="008657D0"/>
    <w:rsid w:val="00866272"/>
    <w:rsid w:val="00870896"/>
    <w:rsid w:val="008708DB"/>
    <w:rsid w:val="00871EFC"/>
    <w:rsid w:val="00877310"/>
    <w:rsid w:val="0088021D"/>
    <w:rsid w:val="008866F6"/>
    <w:rsid w:val="008873B5"/>
    <w:rsid w:val="008913CE"/>
    <w:rsid w:val="00891B59"/>
    <w:rsid w:val="00891D70"/>
    <w:rsid w:val="008975BA"/>
    <w:rsid w:val="008A123D"/>
    <w:rsid w:val="008A2290"/>
    <w:rsid w:val="008A62BD"/>
    <w:rsid w:val="008A69CB"/>
    <w:rsid w:val="008A7406"/>
    <w:rsid w:val="008B38A8"/>
    <w:rsid w:val="008B6044"/>
    <w:rsid w:val="008B7668"/>
    <w:rsid w:val="008D1782"/>
    <w:rsid w:val="008D31C0"/>
    <w:rsid w:val="008D5599"/>
    <w:rsid w:val="008F5A37"/>
    <w:rsid w:val="008F7282"/>
    <w:rsid w:val="008F7D88"/>
    <w:rsid w:val="00913B5B"/>
    <w:rsid w:val="00914F05"/>
    <w:rsid w:val="009207E2"/>
    <w:rsid w:val="00922FA9"/>
    <w:rsid w:val="00944CCC"/>
    <w:rsid w:val="00945EF3"/>
    <w:rsid w:val="00950C7E"/>
    <w:rsid w:val="00950EC8"/>
    <w:rsid w:val="009510DC"/>
    <w:rsid w:val="00952CC4"/>
    <w:rsid w:val="009534E7"/>
    <w:rsid w:val="00954AD9"/>
    <w:rsid w:val="00955912"/>
    <w:rsid w:val="00955F43"/>
    <w:rsid w:val="009565D4"/>
    <w:rsid w:val="00956A32"/>
    <w:rsid w:val="00960ED6"/>
    <w:rsid w:val="009650DE"/>
    <w:rsid w:val="009665A4"/>
    <w:rsid w:val="00970FCE"/>
    <w:rsid w:val="0098134C"/>
    <w:rsid w:val="009819B7"/>
    <w:rsid w:val="00985D5C"/>
    <w:rsid w:val="00990945"/>
    <w:rsid w:val="00992036"/>
    <w:rsid w:val="00997848"/>
    <w:rsid w:val="009A0756"/>
    <w:rsid w:val="009A22C7"/>
    <w:rsid w:val="009B59EF"/>
    <w:rsid w:val="009B62B5"/>
    <w:rsid w:val="009C2383"/>
    <w:rsid w:val="009C3419"/>
    <w:rsid w:val="009D24C6"/>
    <w:rsid w:val="009D4407"/>
    <w:rsid w:val="009D46D7"/>
    <w:rsid w:val="009E672F"/>
    <w:rsid w:val="009E78FC"/>
    <w:rsid w:val="009F2F0B"/>
    <w:rsid w:val="009F4B80"/>
    <w:rsid w:val="009F4F6E"/>
    <w:rsid w:val="009F6C1B"/>
    <w:rsid w:val="00A02CDB"/>
    <w:rsid w:val="00A059DE"/>
    <w:rsid w:val="00A06C23"/>
    <w:rsid w:val="00A06FED"/>
    <w:rsid w:val="00A078DA"/>
    <w:rsid w:val="00A138DA"/>
    <w:rsid w:val="00A141A0"/>
    <w:rsid w:val="00A209FA"/>
    <w:rsid w:val="00A236C7"/>
    <w:rsid w:val="00A272E5"/>
    <w:rsid w:val="00A31835"/>
    <w:rsid w:val="00A36A75"/>
    <w:rsid w:val="00A37079"/>
    <w:rsid w:val="00A37CB4"/>
    <w:rsid w:val="00A4251D"/>
    <w:rsid w:val="00A44F41"/>
    <w:rsid w:val="00A474AB"/>
    <w:rsid w:val="00A47CA8"/>
    <w:rsid w:val="00A5300A"/>
    <w:rsid w:val="00A608B9"/>
    <w:rsid w:val="00A61520"/>
    <w:rsid w:val="00A625A2"/>
    <w:rsid w:val="00A67548"/>
    <w:rsid w:val="00A70A99"/>
    <w:rsid w:val="00A72902"/>
    <w:rsid w:val="00A73787"/>
    <w:rsid w:val="00A74739"/>
    <w:rsid w:val="00A75CB9"/>
    <w:rsid w:val="00A76455"/>
    <w:rsid w:val="00A81D4E"/>
    <w:rsid w:val="00A83A8D"/>
    <w:rsid w:val="00A86370"/>
    <w:rsid w:val="00A92429"/>
    <w:rsid w:val="00A93267"/>
    <w:rsid w:val="00A935B7"/>
    <w:rsid w:val="00A936E1"/>
    <w:rsid w:val="00AA25D7"/>
    <w:rsid w:val="00AB0739"/>
    <w:rsid w:val="00AB1247"/>
    <w:rsid w:val="00AB6A43"/>
    <w:rsid w:val="00AC53BB"/>
    <w:rsid w:val="00AD04D2"/>
    <w:rsid w:val="00AD15E1"/>
    <w:rsid w:val="00AD475C"/>
    <w:rsid w:val="00AD5437"/>
    <w:rsid w:val="00AD5860"/>
    <w:rsid w:val="00AD6125"/>
    <w:rsid w:val="00AD6A94"/>
    <w:rsid w:val="00AE212B"/>
    <w:rsid w:val="00AE2423"/>
    <w:rsid w:val="00AE28A5"/>
    <w:rsid w:val="00AE33BD"/>
    <w:rsid w:val="00AE3A73"/>
    <w:rsid w:val="00AE50F9"/>
    <w:rsid w:val="00AE5EBA"/>
    <w:rsid w:val="00B022B5"/>
    <w:rsid w:val="00B06A3B"/>
    <w:rsid w:val="00B07EDD"/>
    <w:rsid w:val="00B1319A"/>
    <w:rsid w:val="00B13751"/>
    <w:rsid w:val="00B16702"/>
    <w:rsid w:val="00B22975"/>
    <w:rsid w:val="00B30798"/>
    <w:rsid w:val="00B338D1"/>
    <w:rsid w:val="00B3620E"/>
    <w:rsid w:val="00B41397"/>
    <w:rsid w:val="00B42D02"/>
    <w:rsid w:val="00B436CC"/>
    <w:rsid w:val="00B4563D"/>
    <w:rsid w:val="00B46B55"/>
    <w:rsid w:val="00B5265F"/>
    <w:rsid w:val="00B5437A"/>
    <w:rsid w:val="00B64EE2"/>
    <w:rsid w:val="00B7178A"/>
    <w:rsid w:val="00B77E1A"/>
    <w:rsid w:val="00B80D49"/>
    <w:rsid w:val="00B83511"/>
    <w:rsid w:val="00B855D2"/>
    <w:rsid w:val="00B85A14"/>
    <w:rsid w:val="00B868F1"/>
    <w:rsid w:val="00B962CF"/>
    <w:rsid w:val="00B96CFC"/>
    <w:rsid w:val="00BA58A8"/>
    <w:rsid w:val="00BB2148"/>
    <w:rsid w:val="00BB236B"/>
    <w:rsid w:val="00BB5695"/>
    <w:rsid w:val="00BC1A7E"/>
    <w:rsid w:val="00BC7457"/>
    <w:rsid w:val="00BC7DD3"/>
    <w:rsid w:val="00BD391A"/>
    <w:rsid w:val="00BD487B"/>
    <w:rsid w:val="00BD5121"/>
    <w:rsid w:val="00BD7AE0"/>
    <w:rsid w:val="00BE09C8"/>
    <w:rsid w:val="00BE10BE"/>
    <w:rsid w:val="00BE4994"/>
    <w:rsid w:val="00BE6266"/>
    <w:rsid w:val="00BE63B9"/>
    <w:rsid w:val="00BE781F"/>
    <w:rsid w:val="00BF0760"/>
    <w:rsid w:val="00BF2BA0"/>
    <w:rsid w:val="00BF6C93"/>
    <w:rsid w:val="00C011AA"/>
    <w:rsid w:val="00C03827"/>
    <w:rsid w:val="00C04278"/>
    <w:rsid w:val="00C048A1"/>
    <w:rsid w:val="00C0552F"/>
    <w:rsid w:val="00C0659E"/>
    <w:rsid w:val="00C14CE7"/>
    <w:rsid w:val="00C2502F"/>
    <w:rsid w:val="00C33B89"/>
    <w:rsid w:val="00C36FA4"/>
    <w:rsid w:val="00C432C2"/>
    <w:rsid w:val="00C4394C"/>
    <w:rsid w:val="00C51D58"/>
    <w:rsid w:val="00C540DE"/>
    <w:rsid w:val="00C76097"/>
    <w:rsid w:val="00C77BC2"/>
    <w:rsid w:val="00C8284C"/>
    <w:rsid w:val="00C8300E"/>
    <w:rsid w:val="00C838B2"/>
    <w:rsid w:val="00C91998"/>
    <w:rsid w:val="00C93C55"/>
    <w:rsid w:val="00C9741A"/>
    <w:rsid w:val="00CA03F3"/>
    <w:rsid w:val="00CA28F5"/>
    <w:rsid w:val="00CA3C41"/>
    <w:rsid w:val="00CA792C"/>
    <w:rsid w:val="00CD350D"/>
    <w:rsid w:val="00CD50ED"/>
    <w:rsid w:val="00CD7BD7"/>
    <w:rsid w:val="00CE4305"/>
    <w:rsid w:val="00CE47FB"/>
    <w:rsid w:val="00CF169E"/>
    <w:rsid w:val="00CF1880"/>
    <w:rsid w:val="00CF34EC"/>
    <w:rsid w:val="00CF5E32"/>
    <w:rsid w:val="00CF7039"/>
    <w:rsid w:val="00D121F9"/>
    <w:rsid w:val="00D12AC9"/>
    <w:rsid w:val="00D14761"/>
    <w:rsid w:val="00D178EC"/>
    <w:rsid w:val="00D20166"/>
    <w:rsid w:val="00D21A26"/>
    <w:rsid w:val="00D265D1"/>
    <w:rsid w:val="00D26B66"/>
    <w:rsid w:val="00D27529"/>
    <w:rsid w:val="00D303E1"/>
    <w:rsid w:val="00D35C06"/>
    <w:rsid w:val="00D36D1C"/>
    <w:rsid w:val="00D40CA0"/>
    <w:rsid w:val="00D43866"/>
    <w:rsid w:val="00D543FE"/>
    <w:rsid w:val="00D610F5"/>
    <w:rsid w:val="00D62974"/>
    <w:rsid w:val="00D73E44"/>
    <w:rsid w:val="00D7490B"/>
    <w:rsid w:val="00D7740C"/>
    <w:rsid w:val="00D817D5"/>
    <w:rsid w:val="00D820DE"/>
    <w:rsid w:val="00D831E1"/>
    <w:rsid w:val="00D85C31"/>
    <w:rsid w:val="00D90A46"/>
    <w:rsid w:val="00D94CCF"/>
    <w:rsid w:val="00DA33D2"/>
    <w:rsid w:val="00DA3818"/>
    <w:rsid w:val="00DA7570"/>
    <w:rsid w:val="00DB2D3C"/>
    <w:rsid w:val="00DB36F0"/>
    <w:rsid w:val="00DB3CF8"/>
    <w:rsid w:val="00DB53AC"/>
    <w:rsid w:val="00DB78EB"/>
    <w:rsid w:val="00DB7CBD"/>
    <w:rsid w:val="00DC4973"/>
    <w:rsid w:val="00DD200A"/>
    <w:rsid w:val="00DD26C4"/>
    <w:rsid w:val="00DD5183"/>
    <w:rsid w:val="00DD60D9"/>
    <w:rsid w:val="00DE2BA6"/>
    <w:rsid w:val="00DE7F4D"/>
    <w:rsid w:val="00DF118A"/>
    <w:rsid w:val="00DF6A78"/>
    <w:rsid w:val="00DF74CB"/>
    <w:rsid w:val="00E00228"/>
    <w:rsid w:val="00E11AB5"/>
    <w:rsid w:val="00E145F7"/>
    <w:rsid w:val="00E16F33"/>
    <w:rsid w:val="00E17906"/>
    <w:rsid w:val="00E27D52"/>
    <w:rsid w:val="00E33037"/>
    <w:rsid w:val="00E347A7"/>
    <w:rsid w:val="00E348BE"/>
    <w:rsid w:val="00E40612"/>
    <w:rsid w:val="00E42F63"/>
    <w:rsid w:val="00E44FCF"/>
    <w:rsid w:val="00E4508F"/>
    <w:rsid w:val="00E53CD8"/>
    <w:rsid w:val="00E56FA9"/>
    <w:rsid w:val="00E612EA"/>
    <w:rsid w:val="00E62E6E"/>
    <w:rsid w:val="00E63BFF"/>
    <w:rsid w:val="00E7020D"/>
    <w:rsid w:val="00E76305"/>
    <w:rsid w:val="00E80AD1"/>
    <w:rsid w:val="00E82A92"/>
    <w:rsid w:val="00E84FAD"/>
    <w:rsid w:val="00E925BE"/>
    <w:rsid w:val="00E94577"/>
    <w:rsid w:val="00E95B6B"/>
    <w:rsid w:val="00E96105"/>
    <w:rsid w:val="00E97690"/>
    <w:rsid w:val="00EA2BEC"/>
    <w:rsid w:val="00EA4441"/>
    <w:rsid w:val="00EA69A5"/>
    <w:rsid w:val="00EA6FDD"/>
    <w:rsid w:val="00EB03D6"/>
    <w:rsid w:val="00EB521D"/>
    <w:rsid w:val="00EC08EF"/>
    <w:rsid w:val="00EC2DB3"/>
    <w:rsid w:val="00EC58B5"/>
    <w:rsid w:val="00ED2165"/>
    <w:rsid w:val="00ED5A3F"/>
    <w:rsid w:val="00ED5C6B"/>
    <w:rsid w:val="00EE13CD"/>
    <w:rsid w:val="00EE3F7D"/>
    <w:rsid w:val="00EE7371"/>
    <w:rsid w:val="00EE78B1"/>
    <w:rsid w:val="00EF0795"/>
    <w:rsid w:val="00EF204B"/>
    <w:rsid w:val="00EF317E"/>
    <w:rsid w:val="00EF4B69"/>
    <w:rsid w:val="00EF5264"/>
    <w:rsid w:val="00EF7BB7"/>
    <w:rsid w:val="00F007B3"/>
    <w:rsid w:val="00F05E2B"/>
    <w:rsid w:val="00F0674C"/>
    <w:rsid w:val="00F13475"/>
    <w:rsid w:val="00F135F5"/>
    <w:rsid w:val="00F153F4"/>
    <w:rsid w:val="00F210E3"/>
    <w:rsid w:val="00F215FC"/>
    <w:rsid w:val="00F24B0A"/>
    <w:rsid w:val="00F26760"/>
    <w:rsid w:val="00F31690"/>
    <w:rsid w:val="00F33500"/>
    <w:rsid w:val="00F33D33"/>
    <w:rsid w:val="00F367EB"/>
    <w:rsid w:val="00F4143C"/>
    <w:rsid w:val="00F42C7E"/>
    <w:rsid w:val="00F435F9"/>
    <w:rsid w:val="00F44453"/>
    <w:rsid w:val="00F4790E"/>
    <w:rsid w:val="00F52133"/>
    <w:rsid w:val="00F52FA9"/>
    <w:rsid w:val="00F54E5F"/>
    <w:rsid w:val="00F54F40"/>
    <w:rsid w:val="00F570C5"/>
    <w:rsid w:val="00F60115"/>
    <w:rsid w:val="00F67AF4"/>
    <w:rsid w:val="00F7453B"/>
    <w:rsid w:val="00F81130"/>
    <w:rsid w:val="00F82B1A"/>
    <w:rsid w:val="00F836D5"/>
    <w:rsid w:val="00F9264D"/>
    <w:rsid w:val="00F941B0"/>
    <w:rsid w:val="00F96E80"/>
    <w:rsid w:val="00FA32D0"/>
    <w:rsid w:val="00FB0FB2"/>
    <w:rsid w:val="00FB26D2"/>
    <w:rsid w:val="00FB2AE8"/>
    <w:rsid w:val="00FB2DFD"/>
    <w:rsid w:val="00FB595C"/>
    <w:rsid w:val="00FB68FD"/>
    <w:rsid w:val="00FB7D1A"/>
    <w:rsid w:val="00FC149D"/>
    <w:rsid w:val="00FC16C4"/>
    <w:rsid w:val="00FC3EC5"/>
    <w:rsid w:val="00FC596A"/>
    <w:rsid w:val="00FC5E52"/>
    <w:rsid w:val="00FC67B4"/>
    <w:rsid w:val="00FC6C0F"/>
    <w:rsid w:val="00FD0EEA"/>
    <w:rsid w:val="00FD21EB"/>
    <w:rsid w:val="00FD58EA"/>
    <w:rsid w:val="00FD5A58"/>
    <w:rsid w:val="00FE1206"/>
    <w:rsid w:val="00FE64D4"/>
    <w:rsid w:val="00FF2A8E"/>
    <w:rsid w:val="00FF64F2"/>
    <w:rsid w:val="00FF67D4"/>
    <w:rsid w:val="0863633E"/>
    <w:rsid w:val="09FF8F1A"/>
    <w:rsid w:val="2DCF1B3B"/>
    <w:rsid w:val="393BD10A"/>
    <w:rsid w:val="3FF50288"/>
    <w:rsid w:val="47ED2109"/>
    <w:rsid w:val="481B82AA"/>
    <w:rsid w:val="4920BB26"/>
    <w:rsid w:val="4F370AEC"/>
    <w:rsid w:val="6180D959"/>
    <w:rsid w:val="6CE01967"/>
    <w:rsid w:val="728EAC5D"/>
    <w:rsid w:val="76FDE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8F56E3"/>
  <w15:docId w15:val="{72515B5E-A87C-6646-8114-28E22FAC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1A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1A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1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1B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54E5F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4E5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54E5F"/>
    <w:pPr>
      <w:widowControl w:val="0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F54E5F"/>
    <w:pPr>
      <w:widowControl w:val="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4E5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E5F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E5F"/>
    <w:pPr>
      <w:widowControl w:val="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5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54E5F"/>
    <w:rPr>
      <w:rFonts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E5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E5F"/>
    <w:rPr>
      <w:rFonts w:ascii="Arial" w:eastAsia="Calibri" w:hAnsi="Arial" w:cs="Arial"/>
      <w:sz w:val="20"/>
      <w:szCs w:val="20"/>
      <w:lang w:val="ro-RO"/>
    </w:rPr>
  </w:style>
  <w:style w:type="character" w:styleId="FootnoteReference">
    <w:name w:val="footnote reference"/>
    <w:uiPriority w:val="99"/>
    <w:semiHidden/>
    <w:unhideWhenUsed/>
    <w:rsid w:val="00F54E5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54E5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141A0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A141A0"/>
    <w:rPr>
      <w:rFonts w:ascii="Cambria" w:eastAsia="Times New Roman" w:hAnsi="Cambria" w:cs="Times New Roman"/>
      <w:color w:val="243F60"/>
      <w:sz w:val="22"/>
      <w:szCs w:val="22"/>
      <w:lang w:val="ru-RU" w:eastAsia="ru-RU"/>
    </w:r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rsid w:val="00A141A0"/>
    <w:rPr>
      <w:rFonts w:ascii="Arial" w:hAnsi="Arial" w:cs="Arial"/>
      <w:lang w:val="ro-RO"/>
    </w:rPr>
  </w:style>
  <w:style w:type="character" w:customStyle="1" w:styleId="normaltextrun">
    <w:name w:val="normaltextrun"/>
    <w:basedOn w:val="DefaultParagraphFont"/>
    <w:rsid w:val="00A141A0"/>
  </w:style>
  <w:style w:type="character" w:customStyle="1" w:styleId="spellingerror">
    <w:name w:val="spellingerror"/>
    <w:basedOn w:val="DefaultParagraphFont"/>
    <w:rsid w:val="00A141A0"/>
  </w:style>
  <w:style w:type="character" w:customStyle="1" w:styleId="eop">
    <w:name w:val="eop"/>
    <w:basedOn w:val="DefaultParagraphFont"/>
    <w:rsid w:val="00A141A0"/>
  </w:style>
  <w:style w:type="paragraph" w:customStyle="1" w:styleId="paragraph">
    <w:name w:val="paragraph"/>
    <w:basedOn w:val="Normal"/>
    <w:rsid w:val="00A141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textrun">
    <w:name w:val="textrun"/>
    <w:basedOn w:val="DefaultParagraphFont"/>
    <w:rsid w:val="00A141A0"/>
  </w:style>
  <w:style w:type="character" w:customStyle="1" w:styleId="contextualspellingandgrammarerror">
    <w:name w:val="contextualspellingandgrammarerror"/>
    <w:basedOn w:val="DefaultParagraphFont"/>
    <w:rsid w:val="00A141A0"/>
  </w:style>
  <w:style w:type="paragraph" w:styleId="Revision">
    <w:name w:val="Revision"/>
    <w:hidden/>
    <w:uiPriority w:val="99"/>
    <w:semiHidden/>
    <w:rsid w:val="00A141A0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A141A0"/>
    <w:pPr>
      <w:spacing w:line="259" w:lineRule="auto"/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141A0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A141A0"/>
    <w:rPr>
      <w:rFonts w:eastAsiaTheme="minorEastAsia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A141A0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A141A0"/>
    <w:pPr>
      <w:spacing w:before="160" w:after="160"/>
      <w:jc w:val="center"/>
    </w:pPr>
    <w:rPr>
      <w:rFonts w:asciiTheme="minorHAnsi" w:eastAsiaTheme="minorEastAsia" w:hAnsiTheme="minorHAnsi" w:cstheme="minorBidi"/>
      <w:color w:val="44546A" w:themeColor="text2"/>
      <w:sz w:val="20"/>
      <w:szCs w:val="20"/>
      <w:lang w:val="en-US" w:eastAsia="ja-JP"/>
    </w:rPr>
  </w:style>
  <w:style w:type="paragraph" w:customStyle="1" w:styleId="Normal1">
    <w:name w:val="Normal1"/>
    <w:rsid w:val="00A141A0"/>
    <w:pPr>
      <w:spacing w:after="160" w:line="259" w:lineRule="auto"/>
    </w:pPr>
    <w:rPr>
      <w:rFonts w:ascii="Times New Roman" w:eastAsia="Times New Roman" w:hAnsi="Times New Roman" w:cs="Times New Roman"/>
      <w:lang w:val="ro-RO"/>
    </w:rPr>
  </w:style>
  <w:style w:type="paragraph" w:styleId="NormalWeb">
    <w:name w:val="Normal (Web)"/>
    <w:basedOn w:val="Normal"/>
    <w:uiPriority w:val="99"/>
    <w:unhideWhenUsed/>
    <w:rsid w:val="00A141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B69"/>
    <w:rPr>
      <w:color w:val="605E5C"/>
      <w:shd w:val="clear" w:color="auto" w:fill="E1DFDD"/>
    </w:rPr>
  </w:style>
  <w:style w:type="character" w:customStyle="1" w:styleId="zw-portion">
    <w:name w:val="zw-portion"/>
    <w:basedOn w:val="DefaultParagraphFont"/>
    <w:rsid w:val="002A08C5"/>
  </w:style>
  <w:style w:type="table" w:customStyle="1" w:styleId="TableNormal1">
    <w:name w:val="Table Normal1"/>
    <w:uiPriority w:val="2"/>
    <w:semiHidden/>
    <w:unhideWhenUsed/>
    <w:qFormat/>
    <w:rsid w:val="00215719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tionVIHeader">
    <w:name w:val="Section VI. Header"/>
    <w:basedOn w:val="Normal"/>
    <w:rsid w:val="00536F15"/>
    <w:pPr>
      <w:spacing w:before="120" w:after="240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Default">
    <w:name w:val="Default"/>
    <w:rsid w:val="00C51D58"/>
    <w:pPr>
      <w:autoSpaceDE w:val="0"/>
      <w:autoSpaceDN w:val="0"/>
      <w:adjustRightInd w:val="0"/>
    </w:pPr>
    <w:rPr>
      <w:rFonts w:ascii="Huawei Sans" w:hAnsi="Huawei Sans" w:cs="Huawei Sans"/>
      <w:color w:val="000000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2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7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2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9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7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3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5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2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hop.standard.md/ro/standard_details/58636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9C98045680645B5EA75129D66AA8D" ma:contentTypeVersion="23" ma:contentTypeDescription="Create a new document." ma:contentTypeScope="" ma:versionID="6499965524d2c55d177e871879c35dd6">
  <xsd:schema xmlns:xsd="http://www.w3.org/2001/XMLSchema" xmlns:xs="http://www.w3.org/2001/XMLSchema" xmlns:p="http://schemas.microsoft.com/office/2006/metadata/properties" xmlns:ns2="9b430c72-c3f9-4799-9859-8c5e842af259" xmlns:ns3="766ed645-27df-4f60-bdb9-9c2623ab91d0" xmlns:ns4="c848efb5-fe8b-472d-a5a4-7e6e8984cb43" targetNamespace="http://schemas.microsoft.com/office/2006/metadata/properties" ma:root="true" ma:fieldsID="3ec1ebb64a395a938028bdbc13df77c2" ns2:_="" ns3:_="" ns4:_="">
    <xsd:import namespace="9b430c72-c3f9-4799-9859-8c5e842af259"/>
    <xsd:import namespace="766ed645-27df-4f60-bdb9-9c2623ab91d0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cord_x0020_type" minOccurs="0"/>
                <xsd:element ref="ns2:Level_x0020_of_x0020_confidentiality" minOccurs="0"/>
                <xsd:element ref="ns2:Retention_x0020_term" minOccurs="0"/>
                <xsd:element ref="ns2:Originating_x0020_forma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0c72-c3f9-4799-9859-8c5e842af25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Contract administration"/>
          <xsd:enumeration value="Evaluation"/>
          <xsd:enumeration value="Solicitation "/>
          <xsd:enumeration value="Tender"/>
        </xsd:restriction>
      </xsd:simpleType>
    </xsd:element>
    <xsd:element name="Record_x0020_type" ma:index="9" nillable="true" ma:displayName="Record type" ma:format="Dropdown" ma:internalName="Record_x0020_type">
      <xsd:simpleType>
        <xsd:restriction base="dms:Choice">
          <xsd:enumeration value="Announcement"/>
          <xsd:enumeration value="Award Notifications (includes Results Notification, Contract Award, Debriefing with unsuccessful bidders (if any))"/>
          <xsd:enumeration value="Bid Opening Record"/>
          <xsd:enumeration value="Bidding Documents"/>
          <xsd:enumeration value="Bids"/>
          <xsd:enumeration value="CAP/ACP/RACP Approval"/>
          <xsd:enumeration value="Civil Works Contract"/>
          <xsd:enumeration value="Clarifications"/>
          <xsd:enumeration value="Contract Amendment"/>
          <xsd:enumeration value="Contract for Professional Services"/>
          <xsd:enumeration value="Evaluation panel"/>
          <xsd:enumeration value="Evaluation Records (includes Admin Check, Technical Evaluation, Financial Evaluation and Final Evaluation Report)"/>
          <xsd:enumeration value="Individual Consultant/RLA"/>
          <xsd:enumeration value="Institutional Contract"/>
          <xsd:enumeration value="Purchase Order"/>
          <xsd:enumeration value="QA"/>
          <xsd:enumeration value="Reference Check"/>
          <xsd:enumeration value="Terms of Reference"/>
          <xsd:enumeration value="Vendor Documents"/>
          <xsd:enumeration value="Vendor form"/>
        </xsd:restriction>
      </xsd:simpleType>
    </xsd:element>
    <xsd:element name="Level_x0020_of_x0020_confidentiality" ma:index="10" nillable="true" ma:displayName="Level of confidentiality" ma:format="Dropdown" ma:internalName="Level_x0020_of_x0020_confidentiality">
      <xsd:simpleType>
        <xsd:restriction base="dms:Choice">
          <xsd:enumeration value="Confidential"/>
          <xsd:enumeration value="Shared"/>
        </xsd:restriction>
      </xsd:simpleType>
    </xsd:element>
    <xsd:element name="Retention_x0020_term" ma:index="11" nillable="true" ma:displayName="Retention term" ma:format="Dropdown" ma:internalName="Retention_x0020_term">
      <xsd:simpleType>
        <xsd:restriction base="dms:Choice">
          <xsd:enumeration value="Permanent"/>
          <xsd:enumeration value="Superseded"/>
          <xsd:enumeration value="7 years"/>
        </xsd:restriction>
      </xsd:simpleType>
    </xsd:element>
    <xsd:element name="Originating_x0020_format" ma:index="12" nillable="true" ma:displayName="Originating format" ma:format="Dropdown" ma:internalName="Originating_x0020_format">
      <xsd:simpleType>
        <xsd:restriction base="dms:Choice">
          <xsd:enumeration value="Electronic"/>
          <xsd:enumeration value="Paper &amp; electronic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d645-27df-4f60-bdb9-9c2623ab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e9518208-ebf7-401d-aa72-76c524249f50}" ma:internalName="TaxCatchAll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8efb5-fe8b-472d-a5a4-7e6e8984cb43" xsi:nil="true"/>
    <lcf76f155ced4ddcb4097134ff3c332f xmlns="9b430c72-c3f9-4799-9859-8c5e842af259">
      <Terms xmlns="http://schemas.microsoft.com/office/infopath/2007/PartnerControls"/>
    </lcf76f155ced4ddcb4097134ff3c332f>
    <Level_x0020_of_x0020_confidentiality xmlns="9b430c72-c3f9-4799-9859-8c5e842af259" xsi:nil="true"/>
    <Retention_x0020_term xmlns="9b430c72-c3f9-4799-9859-8c5e842af259" xsi:nil="true"/>
    <Record_x0020_type xmlns="9b430c72-c3f9-4799-9859-8c5e842af259" xsi:nil="true"/>
    <Category xmlns="9b430c72-c3f9-4799-9859-8c5e842af259" xsi:nil="true"/>
    <Originating_x0020_format xmlns="9b430c72-c3f9-4799-9859-8c5e842af259" xsi:nil="true"/>
  </documentManagement>
</p:properties>
</file>

<file path=customXml/itemProps1.xml><?xml version="1.0" encoding="utf-8"?>
<ds:datastoreItem xmlns:ds="http://schemas.openxmlformats.org/officeDocument/2006/customXml" ds:itemID="{5A023EDD-2CDE-4035-ABC2-98B6E7A02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9EC48-5156-4AB6-BB95-DD1B6FA74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0c72-c3f9-4799-9859-8c5e842af259"/>
    <ds:schemaRef ds:uri="766ed645-27df-4f60-bdb9-9c2623ab91d0"/>
    <ds:schemaRef ds:uri="c848efb5-fe8b-472d-a5a4-7e6e8984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29F9E-FC13-4667-BBFD-44D37CF9C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82A9C-8E03-407F-87F3-7C5C1FB22507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  <ds:schemaRef ds:uri="c848efb5-fe8b-472d-a5a4-7e6e8984cb43"/>
    <ds:schemaRef ds:uri="9b430c72-c3f9-4799-9859-8c5e842af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 Lupascu</dc:creator>
  <cp:lastModifiedBy>Andrei Durnescu</cp:lastModifiedBy>
  <cp:revision>111</cp:revision>
  <cp:lastPrinted>2023-03-21T14:23:00Z</cp:lastPrinted>
  <dcterms:created xsi:type="dcterms:W3CDTF">2025-05-27T09:00:00Z</dcterms:created>
  <dcterms:modified xsi:type="dcterms:W3CDTF">2025-06-21T13:14:00Z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0x010100DC19C98045680645B5EA75129D66AA8D</vt:lpwstr>
  </property>
  <property fmtid="{D5CDD505-2E9C-101B-9397-08002B2CF9AE}" pid="3" name="MediaServiceImageTags">
    <vt:lpwstr/>
  </property>
</Properties>
</file>