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77185" w14:textId="3AA3C638" w:rsidR="00F63ACF" w:rsidRDefault="00A40D03" w:rsidP="00F63ACF">
      <w:pPr>
        <w:widowControl w:val="0"/>
        <w:tabs>
          <w:tab w:val="left" w:pos="1200"/>
        </w:tabs>
        <w:overflowPunct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Annex IV</w:t>
      </w:r>
    </w:p>
    <w:p w14:paraId="5C348432" w14:textId="77777777" w:rsidR="00A40D03" w:rsidRDefault="00A40D03" w:rsidP="00F63ACF">
      <w:pPr>
        <w:widowControl w:val="0"/>
        <w:tabs>
          <w:tab w:val="left" w:pos="1200"/>
        </w:tabs>
        <w:overflowPunct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4EF64B" w14:textId="456AE343" w:rsidR="00DD42F4" w:rsidRDefault="00F63ACF" w:rsidP="00DD42F4">
      <w:pPr>
        <w:widowControl w:val="0"/>
        <w:tabs>
          <w:tab w:val="left" w:pos="1200"/>
        </w:tabs>
        <w:overflowPunct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</w:t>
      </w:r>
      <w:r w:rsidRPr="00351EB2">
        <w:rPr>
          <w:rFonts w:ascii="Times New Roman" w:hAnsi="Times New Roman" w:cs="Times New Roman"/>
          <w:b/>
          <w:bCs/>
          <w:sz w:val="24"/>
          <w:szCs w:val="24"/>
        </w:rPr>
        <w:t>TECHNICAL SPECIFICATIONS</w:t>
      </w:r>
    </w:p>
    <w:p w14:paraId="1E670612" w14:textId="77777777" w:rsidR="00A40D03" w:rsidRDefault="00A40D03" w:rsidP="00DD42F4">
      <w:pPr>
        <w:widowControl w:val="0"/>
        <w:tabs>
          <w:tab w:val="left" w:pos="1200"/>
        </w:tabs>
        <w:overflowPunct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ILOTable"/>
        <w:tblW w:w="10065" w:type="dxa"/>
        <w:tblInd w:w="-145" w:type="dxa"/>
        <w:tblLook w:val="04A0" w:firstRow="1" w:lastRow="0" w:firstColumn="1" w:lastColumn="0" w:noHBand="0" w:noVBand="1"/>
      </w:tblPr>
      <w:tblGrid>
        <w:gridCol w:w="878"/>
        <w:gridCol w:w="2734"/>
        <w:gridCol w:w="6453"/>
      </w:tblGrid>
      <w:tr w:rsidR="00A40D03" w:rsidRPr="00A40D03" w14:paraId="7AE31FE1" w14:textId="77777777" w:rsidTr="00A40D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8" w:type="dxa"/>
          </w:tcPr>
          <w:p w14:paraId="2E8A706C" w14:textId="77777777" w:rsidR="00A40D03" w:rsidRPr="00A40D03" w:rsidRDefault="00A40D03" w:rsidP="00A40D03">
            <w:pPr>
              <w:spacing w:before="120" w:after="120" w:line="264" w:lineRule="auto"/>
              <w:rPr>
                <w:rFonts w:eastAsia="Aptos" w:cs="Noto Sans"/>
                <w:b/>
                <w:bCs/>
                <w:szCs w:val="18"/>
              </w:rPr>
            </w:pPr>
            <w:proofErr w:type="spellStart"/>
            <w:proofErr w:type="gramStart"/>
            <w:r w:rsidRPr="00A40D03">
              <w:rPr>
                <w:rFonts w:eastAsia="Aptos" w:cs="Noto Sans"/>
                <w:b/>
                <w:bCs/>
                <w:szCs w:val="18"/>
              </w:rPr>
              <w:t>Nr.Ord</w:t>
            </w:r>
            <w:proofErr w:type="spellEnd"/>
            <w:proofErr w:type="gramEnd"/>
          </w:p>
        </w:tc>
        <w:tc>
          <w:tcPr>
            <w:tcW w:w="2734" w:type="dxa"/>
          </w:tcPr>
          <w:p w14:paraId="1007A106" w14:textId="77777777" w:rsidR="00A40D03" w:rsidRPr="00A40D03" w:rsidRDefault="00A40D03" w:rsidP="00A40D03">
            <w:pPr>
              <w:spacing w:before="120" w:after="120" w:line="264" w:lineRule="auto"/>
              <w:jc w:val="center"/>
              <w:rPr>
                <w:rFonts w:eastAsia="Aptos" w:cs="Noto Sans"/>
                <w:b/>
                <w:bCs/>
                <w:szCs w:val="18"/>
              </w:rPr>
            </w:pPr>
            <w:r w:rsidRPr="00A40D03">
              <w:rPr>
                <w:rFonts w:eastAsia="Aptos" w:cs="Noto Sans"/>
                <w:b/>
                <w:bCs/>
                <w:szCs w:val="18"/>
              </w:rPr>
              <w:t>Item</w:t>
            </w:r>
          </w:p>
        </w:tc>
        <w:tc>
          <w:tcPr>
            <w:tcW w:w="6453" w:type="dxa"/>
          </w:tcPr>
          <w:p w14:paraId="0FB92917" w14:textId="77777777" w:rsidR="00A40D03" w:rsidRPr="00A40D03" w:rsidRDefault="00A40D03" w:rsidP="00A40D03">
            <w:pPr>
              <w:spacing w:before="120" w:after="120" w:line="264" w:lineRule="auto"/>
              <w:jc w:val="center"/>
              <w:rPr>
                <w:rFonts w:eastAsia="Aptos" w:cs="Noto Sans"/>
                <w:b/>
                <w:bCs/>
                <w:szCs w:val="18"/>
              </w:rPr>
            </w:pPr>
            <w:r w:rsidRPr="00A40D03">
              <w:rPr>
                <w:rFonts w:eastAsia="Aptos" w:cs="Noto Sans"/>
                <w:b/>
                <w:bCs/>
                <w:szCs w:val="18"/>
              </w:rPr>
              <w:t>Description</w:t>
            </w:r>
          </w:p>
        </w:tc>
      </w:tr>
      <w:tr w:rsidR="00A40D03" w:rsidRPr="00A40D03" w14:paraId="140C16B8" w14:textId="77777777" w:rsidTr="00A40D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78" w:type="dxa"/>
          </w:tcPr>
          <w:p w14:paraId="764AFEC2" w14:textId="77777777" w:rsidR="00A40D03" w:rsidRPr="00A40D03" w:rsidRDefault="00A40D03" w:rsidP="00A40D03">
            <w:pPr>
              <w:spacing w:before="120" w:after="120" w:line="264" w:lineRule="auto"/>
              <w:rPr>
                <w:rFonts w:eastAsia="Aptos" w:cs="Noto Sans"/>
                <w:szCs w:val="18"/>
              </w:rPr>
            </w:pPr>
            <w:r w:rsidRPr="00A40D03">
              <w:rPr>
                <w:rFonts w:eastAsia="Aptos" w:cs="Noto Sans"/>
                <w:szCs w:val="18"/>
              </w:rPr>
              <w:t>1</w:t>
            </w:r>
          </w:p>
        </w:tc>
        <w:tc>
          <w:tcPr>
            <w:tcW w:w="2734" w:type="dxa"/>
          </w:tcPr>
          <w:p w14:paraId="361C5AC7" w14:textId="77777777" w:rsidR="00A40D03" w:rsidRPr="00A40D03" w:rsidRDefault="00A40D03" w:rsidP="00A40D03">
            <w:pPr>
              <w:spacing w:before="120" w:after="120" w:line="264" w:lineRule="auto"/>
              <w:rPr>
                <w:rFonts w:eastAsia="Aptos" w:cs="Noto Sans"/>
                <w:szCs w:val="18"/>
              </w:rPr>
            </w:pPr>
            <w:bookmarkStart w:id="0" w:name="_Hlk219112417"/>
            <w:r w:rsidRPr="00A40D03">
              <w:rPr>
                <w:rFonts w:eastAsia="Aptos" w:cs="Noto Sans"/>
                <w:szCs w:val="18"/>
              </w:rPr>
              <w:t>Firewall – central server</w:t>
            </w:r>
            <w:bookmarkEnd w:id="0"/>
          </w:p>
        </w:tc>
        <w:tc>
          <w:tcPr>
            <w:tcW w:w="6453" w:type="dxa"/>
          </w:tcPr>
          <w:p w14:paraId="78D35955" w14:textId="77777777" w:rsidR="00A40D03" w:rsidRPr="00A40D03" w:rsidRDefault="00A40D03" w:rsidP="00A40D03">
            <w:pPr>
              <w:spacing w:before="120" w:after="120" w:line="264" w:lineRule="auto"/>
              <w:rPr>
                <w:rFonts w:eastAsia="Aptos" w:cs="Noto Sans"/>
                <w:szCs w:val="18"/>
              </w:rPr>
            </w:pPr>
            <w:r w:rsidRPr="00A40D03">
              <w:rPr>
                <w:rFonts w:eastAsia="Aptos" w:cs="Noto Sans"/>
                <w:szCs w:val="18"/>
              </w:rPr>
              <w:t>Fortinet FG-90G-BDL-950-36</w:t>
            </w:r>
            <w:r w:rsidRPr="00A40D03">
              <w:rPr>
                <w:rFonts w:eastAsia="Aptos" w:cs="Noto Sans"/>
                <w:szCs w:val="18"/>
              </w:rPr>
              <w:br/>
              <w:t xml:space="preserve">To </w:t>
            </w:r>
            <w:proofErr w:type="spellStart"/>
            <w:r w:rsidRPr="00A40D03">
              <w:rPr>
                <w:rFonts w:eastAsia="Aptos" w:cs="Noto Sans"/>
                <w:szCs w:val="18"/>
              </w:rPr>
              <w:t>be</w:t>
            </w:r>
            <w:proofErr w:type="spellEnd"/>
            <w:r w:rsidRPr="00A40D03">
              <w:rPr>
                <w:rFonts w:eastAsia="Aptos" w:cs="Noto Sans"/>
                <w:szCs w:val="18"/>
              </w:rPr>
              <w:t xml:space="preserve"> </w:t>
            </w:r>
            <w:proofErr w:type="spellStart"/>
            <w:r w:rsidRPr="00A40D03">
              <w:rPr>
                <w:rFonts w:eastAsia="Aptos" w:cs="Noto Sans"/>
                <w:szCs w:val="18"/>
              </w:rPr>
              <w:t>installed</w:t>
            </w:r>
            <w:proofErr w:type="spellEnd"/>
            <w:r w:rsidRPr="00A40D03">
              <w:rPr>
                <w:rFonts w:eastAsia="Aptos" w:cs="Noto Sans"/>
                <w:szCs w:val="18"/>
              </w:rPr>
              <w:t xml:space="preserve"> in the server room for </w:t>
            </w:r>
            <w:proofErr w:type="spellStart"/>
            <w:r w:rsidRPr="00A40D03">
              <w:rPr>
                <w:rFonts w:eastAsia="Aptos" w:cs="Noto Sans"/>
                <w:szCs w:val="18"/>
              </w:rPr>
              <w:t>secure</w:t>
            </w:r>
            <w:proofErr w:type="spellEnd"/>
            <w:r w:rsidRPr="00A40D03">
              <w:rPr>
                <w:rFonts w:eastAsia="Aptos" w:cs="Noto Sans"/>
                <w:szCs w:val="18"/>
              </w:rPr>
              <w:t xml:space="preserve"> VPN </w:t>
            </w:r>
            <w:proofErr w:type="spellStart"/>
            <w:r w:rsidRPr="00A40D03">
              <w:rPr>
                <w:rFonts w:eastAsia="Aptos" w:cs="Noto Sans"/>
                <w:szCs w:val="18"/>
              </w:rPr>
              <w:t>video</w:t>
            </w:r>
            <w:proofErr w:type="spellEnd"/>
            <w:r w:rsidRPr="00A40D03">
              <w:rPr>
                <w:rFonts w:eastAsia="Aptos" w:cs="Noto Sans"/>
                <w:szCs w:val="18"/>
              </w:rPr>
              <w:t xml:space="preserve"> transmission.</w:t>
            </w:r>
          </w:p>
        </w:tc>
      </w:tr>
      <w:tr w:rsidR="00A40D03" w:rsidRPr="00A40D03" w14:paraId="792A94FF" w14:textId="77777777" w:rsidTr="00A40D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78" w:type="dxa"/>
          </w:tcPr>
          <w:p w14:paraId="2ED05508" w14:textId="77777777" w:rsidR="00A40D03" w:rsidRPr="00A40D03" w:rsidRDefault="00A40D03" w:rsidP="00A40D03">
            <w:pPr>
              <w:spacing w:before="120" w:after="120" w:line="264" w:lineRule="auto"/>
              <w:rPr>
                <w:rFonts w:eastAsia="Aptos" w:cs="Noto Sans"/>
                <w:szCs w:val="18"/>
              </w:rPr>
            </w:pPr>
            <w:r w:rsidRPr="00A40D03">
              <w:rPr>
                <w:rFonts w:eastAsia="Aptos" w:cs="Noto Sans"/>
                <w:szCs w:val="18"/>
              </w:rPr>
              <w:t>2</w:t>
            </w:r>
          </w:p>
        </w:tc>
        <w:tc>
          <w:tcPr>
            <w:tcW w:w="2734" w:type="dxa"/>
          </w:tcPr>
          <w:p w14:paraId="095AD2A0" w14:textId="77777777" w:rsidR="00A40D03" w:rsidRPr="00A40D03" w:rsidRDefault="00A40D03" w:rsidP="00A40D03">
            <w:pPr>
              <w:spacing w:before="120" w:after="120" w:line="264" w:lineRule="auto"/>
              <w:rPr>
                <w:rFonts w:eastAsia="Aptos" w:cs="Noto Sans"/>
                <w:szCs w:val="18"/>
              </w:rPr>
            </w:pPr>
            <w:r w:rsidRPr="00A40D03">
              <w:rPr>
                <w:rFonts w:eastAsia="Aptos" w:cs="Noto Sans"/>
                <w:szCs w:val="18"/>
              </w:rPr>
              <w:t xml:space="preserve">Firewall – </w:t>
            </w:r>
            <w:proofErr w:type="spellStart"/>
            <w:r w:rsidRPr="00A40D03">
              <w:rPr>
                <w:rFonts w:eastAsia="Aptos" w:cs="Noto Sans"/>
                <w:szCs w:val="18"/>
              </w:rPr>
              <w:t>access</w:t>
            </w:r>
            <w:proofErr w:type="spellEnd"/>
            <w:r w:rsidRPr="00A40D03">
              <w:rPr>
                <w:rFonts w:eastAsia="Aptos" w:cs="Noto Sans"/>
                <w:szCs w:val="18"/>
              </w:rPr>
              <w:t xml:space="preserve"> points</w:t>
            </w:r>
          </w:p>
        </w:tc>
        <w:tc>
          <w:tcPr>
            <w:tcW w:w="6453" w:type="dxa"/>
          </w:tcPr>
          <w:p w14:paraId="7C4EF8DF" w14:textId="77777777" w:rsidR="00A40D03" w:rsidRPr="00A40D03" w:rsidRDefault="00A40D03" w:rsidP="00A40D03">
            <w:pPr>
              <w:spacing w:before="120" w:after="120" w:line="264" w:lineRule="auto"/>
              <w:rPr>
                <w:rFonts w:eastAsia="Aptos" w:cs="Noto Sans"/>
                <w:szCs w:val="18"/>
              </w:rPr>
            </w:pPr>
            <w:r w:rsidRPr="00A40D03">
              <w:rPr>
                <w:rFonts w:eastAsia="Aptos" w:cs="Noto Sans"/>
                <w:szCs w:val="18"/>
              </w:rPr>
              <w:t>Fortinet FG-50G-BDL-950-36</w:t>
            </w:r>
            <w:r w:rsidRPr="00A40D03">
              <w:rPr>
                <w:rFonts w:eastAsia="Aptos" w:cs="Noto Sans"/>
                <w:szCs w:val="18"/>
              </w:rPr>
              <w:br/>
              <w:t xml:space="preserve">9 </w:t>
            </w:r>
            <w:proofErr w:type="spellStart"/>
            <w:r w:rsidRPr="00A40D03">
              <w:rPr>
                <w:rFonts w:eastAsia="Aptos" w:cs="Noto Sans"/>
                <w:szCs w:val="18"/>
              </w:rPr>
              <w:t>units</w:t>
            </w:r>
            <w:proofErr w:type="spellEnd"/>
            <w:r w:rsidRPr="00A40D03">
              <w:rPr>
                <w:rFonts w:eastAsia="Aptos" w:cs="Noto Sans"/>
                <w:szCs w:val="18"/>
              </w:rPr>
              <w:t xml:space="preserve"> </w:t>
            </w:r>
          </w:p>
          <w:p w14:paraId="7CAE7E6A" w14:textId="77777777" w:rsidR="00A40D03" w:rsidRPr="00A40D03" w:rsidRDefault="00A40D03" w:rsidP="00A40D03">
            <w:pPr>
              <w:spacing w:before="120" w:after="120" w:line="264" w:lineRule="auto"/>
              <w:rPr>
                <w:rFonts w:eastAsia="Aptos" w:cs="Noto Sans"/>
                <w:szCs w:val="18"/>
              </w:rPr>
            </w:pPr>
            <w:r w:rsidRPr="00A40D03">
              <w:rPr>
                <w:rFonts w:eastAsia="Aptos" w:cs="Noto Sans"/>
                <w:szCs w:val="18"/>
              </w:rPr>
              <w:t xml:space="preserve">Secure VPN </w:t>
            </w:r>
            <w:proofErr w:type="spellStart"/>
            <w:r w:rsidRPr="00A40D03">
              <w:rPr>
                <w:rFonts w:eastAsia="Aptos" w:cs="Noto Sans"/>
                <w:szCs w:val="18"/>
              </w:rPr>
              <w:t>connection</w:t>
            </w:r>
            <w:proofErr w:type="spellEnd"/>
            <w:r w:rsidRPr="00A40D03">
              <w:rPr>
                <w:rFonts w:eastAsia="Aptos" w:cs="Noto Sans"/>
                <w:szCs w:val="18"/>
              </w:rPr>
              <w:t xml:space="preserve"> to central server.</w:t>
            </w:r>
          </w:p>
        </w:tc>
      </w:tr>
      <w:tr w:rsidR="00A40D03" w:rsidRPr="00A40D03" w14:paraId="4DADBC32" w14:textId="77777777" w:rsidTr="00A40D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78" w:type="dxa"/>
          </w:tcPr>
          <w:p w14:paraId="71A30075" w14:textId="77777777" w:rsidR="00A40D03" w:rsidRPr="00A40D03" w:rsidRDefault="00A40D03" w:rsidP="00A40D03">
            <w:pPr>
              <w:spacing w:before="120" w:after="120" w:line="264" w:lineRule="auto"/>
              <w:rPr>
                <w:rFonts w:eastAsia="Aptos" w:cs="Noto Sans"/>
                <w:szCs w:val="18"/>
              </w:rPr>
            </w:pPr>
            <w:r w:rsidRPr="00A40D03">
              <w:rPr>
                <w:rFonts w:eastAsia="Aptos" w:cs="Noto Sans"/>
                <w:szCs w:val="18"/>
              </w:rPr>
              <w:t>3</w:t>
            </w:r>
          </w:p>
        </w:tc>
        <w:tc>
          <w:tcPr>
            <w:tcW w:w="2734" w:type="dxa"/>
          </w:tcPr>
          <w:p w14:paraId="1555723B" w14:textId="77777777" w:rsidR="00A40D03" w:rsidRPr="00A40D03" w:rsidRDefault="00A40D03" w:rsidP="00A40D03">
            <w:pPr>
              <w:spacing w:before="120" w:after="120" w:line="264" w:lineRule="auto"/>
              <w:rPr>
                <w:rFonts w:eastAsia="Aptos" w:cs="Noto Sans"/>
                <w:szCs w:val="18"/>
              </w:rPr>
            </w:pPr>
            <w:r w:rsidRPr="00A40D03">
              <w:rPr>
                <w:rFonts w:eastAsia="Aptos" w:cs="Noto Sans"/>
                <w:szCs w:val="18"/>
              </w:rPr>
              <w:t xml:space="preserve">Network </w:t>
            </w:r>
            <w:proofErr w:type="spellStart"/>
            <w:r w:rsidRPr="00A40D03">
              <w:rPr>
                <w:rFonts w:eastAsia="Aptos" w:cs="Noto Sans"/>
                <w:szCs w:val="18"/>
              </w:rPr>
              <w:t>security</w:t>
            </w:r>
            <w:proofErr w:type="spellEnd"/>
            <w:r w:rsidRPr="00A40D03">
              <w:rPr>
                <w:rFonts w:eastAsia="Aptos" w:cs="Noto Sans"/>
                <w:szCs w:val="18"/>
              </w:rPr>
              <w:t xml:space="preserve"> software</w:t>
            </w:r>
          </w:p>
        </w:tc>
        <w:tc>
          <w:tcPr>
            <w:tcW w:w="6453" w:type="dxa"/>
          </w:tcPr>
          <w:p w14:paraId="0A0C004D" w14:textId="77777777" w:rsidR="00A40D03" w:rsidRPr="00A40D03" w:rsidRDefault="00A40D03" w:rsidP="00A40D03">
            <w:pPr>
              <w:spacing w:before="120" w:after="120" w:line="264" w:lineRule="auto"/>
              <w:rPr>
                <w:rFonts w:eastAsia="Aptos" w:cs="Noto Sans"/>
                <w:szCs w:val="18"/>
              </w:rPr>
            </w:pPr>
            <w:r w:rsidRPr="00A40D03">
              <w:rPr>
                <w:rFonts w:eastAsia="Aptos" w:cs="Noto Sans"/>
                <w:szCs w:val="18"/>
              </w:rPr>
              <w:t xml:space="preserve">FAZ-VM-GB5 – </w:t>
            </w:r>
            <w:proofErr w:type="spellStart"/>
            <w:r w:rsidRPr="00A40D03">
              <w:rPr>
                <w:rFonts w:eastAsia="Aptos" w:cs="Noto Sans"/>
                <w:szCs w:val="18"/>
              </w:rPr>
              <w:t>Forti</w:t>
            </w:r>
            <w:proofErr w:type="spellEnd"/>
            <w:r w:rsidRPr="00A40D03">
              <w:rPr>
                <w:rFonts w:eastAsia="Aptos" w:cs="Noto Sans"/>
                <w:szCs w:val="18"/>
              </w:rPr>
              <w:t xml:space="preserve"> Analyzer </w:t>
            </w:r>
            <w:r w:rsidRPr="00A40D03">
              <w:rPr>
                <w:rFonts w:eastAsia="Aptos" w:cs="Noto Sans"/>
                <w:szCs w:val="18"/>
              </w:rPr>
              <w:br/>
              <w:t xml:space="preserve">FC1-10-LV0VM-248-02-36 License support (3 </w:t>
            </w:r>
            <w:proofErr w:type="spellStart"/>
            <w:r w:rsidRPr="00A40D03">
              <w:rPr>
                <w:rFonts w:eastAsia="Aptos" w:cs="Noto Sans"/>
                <w:szCs w:val="18"/>
              </w:rPr>
              <w:t>years</w:t>
            </w:r>
            <w:proofErr w:type="spellEnd"/>
            <w:r w:rsidRPr="00A40D03">
              <w:rPr>
                <w:rFonts w:eastAsia="Aptos" w:cs="Noto Sans"/>
                <w:szCs w:val="18"/>
              </w:rPr>
              <w:t>)</w:t>
            </w:r>
          </w:p>
        </w:tc>
      </w:tr>
      <w:tr w:rsidR="00A40D03" w:rsidRPr="000D491E" w14:paraId="34539793" w14:textId="77777777" w:rsidTr="00A40D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78" w:type="dxa"/>
          </w:tcPr>
          <w:p w14:paraId="1D19AAF9" w14:textId="77777777" w:rsidR="00A40D03" w:rsidRPr="00A40D03" w:rsidRDefault="00A40D03" w:rsidP="00A40D03">
            <w:pPr>
              <w:spacing w:before="120" w:after="120" w:line="264" w:lineRule="auto"/>
              <w:rPr>
                <w:rFonts w:eastAsia="Aptos" w:cs="Noto Sans"/>
                <w:szCs w:val="18"/>
              </w:rPr>
            </w:pPr>
            <w:r w:rsidRPr="00A40D03">
              <w:rPr>
                <w:rFonts w:eastAsia="Aptos" w:cs="Noto Sans"/>
                <w:szCs w:val="18"/>
              </w:rPr>
              <w:t>4</w:t>
            </w:r>
          </w:p>
        </w:tc>
        <w:tc>
          <w:tcPr>
            <w:tcW w:w="2734" w:type="dxa"/>
          </w:tcPr>
          <w:p w14:paraId="7CC0E001" w14:textId="77777777" w:rsidR="00A40D03" w:rsidRPr="00A40D03" w:rsidRDefault="00A40D03" w:rsidP="00A40D03">
            <w:pPr>
              <w:spacing w:before="120" w:after="120" w:line="264" w:lineRule="auto"/>
              <w:rPr>
                <w:rFonts w:eastAsia="Aptos" w:cs="Noto Sans"/>
                <w:szCs w:val="18"/>
              </w:rPr>
            </w:pPr>
            <w:r w:rsidRPr="00A40D03">
              <w:rPr>
                <w:rFonts w:eastAsia="Aptos" w:cs="Noto Sans"/>
                <w:szCs w:val="18"/>
              </w:rPr>
              <w:t xml:space="preserve">SFP </w:t>
            </w:r>
            <w:proofErr w:type="spellStart"/>
            <w:r w:rsidRPr="00A40D03">
              <w:rPr>
                <w:rFonts w:eastAsia="Aptos" w:cs="Noto Sans"/>
                <w:szCs w:val="18"/>
              </w:rPr>
              <w:t>connectors</w:t>
            </w:r>
            <w:proofErr w:type="spellEnd"/>
          </w:p>
        </w:tc>
        <w:tc>
          <w:tcPr>
            <w:tcW w:w="6453" w:type="dxa"/>
          </w:tcPr>
          <w:p w14:paraId="0E5E867E" w14:textId="77777777" w:rsidR="00A40D03" w:rsidRPr="00A40D03" w:rsidRDefault="00A40D03" w:rsidP="00A40D03">
            <w:pPr>
              <w:spacing w:before="120" w:after="120" w:line="264" w:lineRule="auto"/>
              <w:rPr>
                <w:rFonts w:eastAsia="Aptos" w:cs="Noto Sans"/>
                <w:szCs w:val="18"/>
              </w:rPr>
            </w:pPr>
            <w:r w:rsidRPr="00A40D03">
              <w:rPr>
                <w:rFonts w:eastAsia="Aptos" w:cs="Noto Sans"/>
                <w:szCs w:val="18"/>
              </w:rPr>
              <w:t xml:space="preserve">FN-TRAN-SFP+LRI – 2 </w:t>
            </w:r>
            <w:proofErr w:type="spellStart"/>
            <w:r w:rsidRPr="00A40D03">
              <w:rPr>
                <w:rFonts w:eastAsia="Aptos" w:cs="Noto Sans"/>
                <w:szCs w:val="18"/>
              </w:rPr>
              <w:t>units</w:t>
            </w:r>
            <w:proofErr w:type="spellEnd"/>
            <w:r w:rsidRPr="00A40D03">
              <w:rPr>
                <w:rFonts w:eastAsia="Aptos" w:cs="Noto Sans"/>
                <w:szCs w:val="18"/>
              </w:rPr>
              <w:br/>
            </w:r>
          </w:p>
        </w:tc>
      </w:tr>
      <w:tr w:rsidR="00A40D03" w:rsidRPr="00A40D03" w14:paraId="221A7114" w14:textId="77777777" w:rsidTr="00A40D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065" w:type="dxa"/>
            <w:gridSpan w:val="3"/>
          </w:tcPr>
          <w:p w14:paraId="05EAA804" w14:textId="77777777" w:rsidR="00A40D03" w:rsidRPr="00A40D03" w:rsidRDefault="00A40D03" w:rsidP="00A40D03">
            <w:pPr>
              <w:spacing w:before="120" w:after="120" w:line="264" w:lineRule="auto"/>
              <w:jc w:val="center"/>
              <w:rPr>
                <w:rFonts w:eastAsia="Aptos" w:cs="Noto Sans"/>
                <w:szCs w:val="18"/>
              </w:rPr>
            </w:pPr>
            <w:r w:rsidRPr="00A40D03">
              <w:rPr>
                <w:rFonts w:eastAsia="Aptos" w:cs="Noto Sans"/>
                <w:szCs w:val="18"/>
                <w:lang w:val="en-US"/>
              </w:rPr>
              <w:t xml:space="preserve">Provision of technical documentation for Deliverables, </w:t>
            </w:r>
            <w:r w:rsidRPr="00A40D03">
              <w:rPr>
                <w:rFonts w:eastAsia="Aptos" w:cs="Noto Sans"/>
                <w:b/>
                <w:bCs/>
                <w:szCs w:val="18"/>
                <w:lang w:val="en-US"/>
              </w:rPr>
              <w:t>TOTAL COST</w:t>
            </w:r>
          </w:p>
        </w:tc>
      </w:tr>
    </w:tbl>
    <w:p w14:paraId="3E21FEA1" w14:textId="77777777" w:rsidR="00DD42F4" w:rsidRPr="00DD42F4" w:rsidRDefault="00DD42F4" w:rsidP="00DD42F4">
      <w:pPr>
        <w:widowControl w:val="0"/>
        <w:tabs>
          <w:tab w:val="left" w:pos="1200"/>
        </w:tabs>
        <w:overflowPunct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D42F4" w:rsidRPr="00DD42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5C4BC" w14:textId="77777777" w:rsidR="004D0801" w:rsidRDefault="004D0801" w:rsidP="00A40D03">
      <w:pPr>
        <w:spacing w:after="0" w:line="240" w:lineRule="auto"/>
      </w:pPr>
      <w:r>
        <w:separator/>
      </w:r>
    </w:p>
  </w:endnote>
  <w:endnote w:type="continuationSeparator" w:id="0">
    <w:p w14:paraId="64601A1C" w14:textId="77777777" w:rsidR="004D0801" w:rsidRDefault="004D0801" w:rsidP="00A40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oto Sans">
    <w:altName w:val="Noto Sans"/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81E34" w14:textId="77777777" w:rsidR="004D0801" w:rsidRDefault="004D0801" w:rsidP="00A40D03">
      <w:pPr>
        <w:spacing w:after="0" w:line="240" w:lineRule="auto"/>
      </w:pPr>
      <w:r>
        <w:separator/>
      </w:r>
    </w:p>
  </w:footnote>
  <w:footnote w:type="continuationSeparator" w:id="0">
    <w:p w14:paraId="5F884C8B" w14:textId="77777777" w:rsidR="004D0801" w:rsidRDefault="004D0801" w:rsidP="00A40D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B6E"/>
    <w:rsid w:val="000856ED"/>
    <w:rsid w:val="000D491E"/>
    <w:rsid w:val="001611FB"/>
    <w:rsid w:val="002649E0"/>
    <w:rsid w:val="0028720A"/>
    <w:rsid w:val="002A214B"/>
    <w:rsid w:val="00311517"/>
    <w:rsid w:val="004D0801"/>
    <w:rsid w:val="00690B6E"/>
    <w:rsid w:val="007E3306"/>
    <w:rsid w:val="00A40D03"/>
    <w:rsid w:val="00CF66E2"/>
    <w:rsid w:val="00DD42F4"/>
    <w:rsid w:val="00DE1E50"/>
    <w:rsid w:val="00F6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14128"/>
  <w15:chartTrackingRefBased/>
  <w15:docId w15:val="{13E1C909-3F6C-4832-9C8E-BF8C690FD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ACF"/>
  </w:style>
  <w:style w:type="paragraph" w:styleId="Heading1">
    <w:name w:val="heading 1"/>
    <w:basedOn w:val="Normal"/>
    <w:next w:val="Normal"/>
    <w:link w:val="Heading1Char"/>
    <w:uiPriority w:val="9"/>
    <w:qFormat/>
    <w:rsid w:val="00DD42F4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3ACF"/>
    <w:pPr>
      <w:ind w:left="720"/>
      <w:contextualSpacing/>
    </w:pPr>
  </w:style>
  <w:style w:type="character" w:customStyle="1" w:styleId="HeaderChar">
    <w:name w:val="Header Char"/>
    <w:aliases w:val="UNOPS Header Char"/>
    <w:basedOn w:val="DefaultParagraphFont"/>
    <w:link w:val="Header"/>
    <w:locked/>
    <w:rsid w:val="00F63ACF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aliases w:val="UNOPS Header"/>
    <w:basedOn w:val="Normal"/>
    <w:link w:val="HeaderChar"/>
    <w:unhideWhenUsed/>
    <w:qFormat/>
    <w:rsid w:val="00F63AC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1">
    <w:name w:val="Header Char1"/>
    <w:basedOn w:val="DefaultParagraphFont"/>
    <w:uiPriority w:val="99"/>
    <w:semiHidden/>
    <w:rsid w:val="00F63ACF"/>
  </w:style>
  <w:style w:type="character" w:customStyle="1" w:styleId="Heading1Char">
    <w:name w:val="Heading 1 Char"/>
    <w:basedOn w:val="DefaultParagraphFont"/>
    <w:link w:val="Heading1"/>
    <w:uiPriority w:val="9"/>
    <w:rsid w:val="00DD42F4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val="en-US"/>
      <w14:ligatures w14:val="none"/>
    </w:rPr>
  </w:style>
  <w:style w:type="table" w:customStyle="1" w:styleId="ILOTable">
    <w:name w:val="ILOTable"/>
    <w:basedOn w:val="TableNormal"/>
    <w:uiPriority w:val="99"/>
    <w:rsid w:val="00A40D03"/>
    <w:pPr>
      <w:spacing w:after="0" w:line="240" w:lineRule="auto"/>
    </w:pPr>
    <w:rPr>
      <w:rFonts w:ascii="Noto Sans" w:hAnsi="Noto Sans"/>
      <w:kern w:val="0"/>
      <w:sz w:val="18"/>
      <w:lang w:val="fr-CH"/>
      <w14:ligatures w14:val="none"/>
    </w:rPr>
    <w:tblPr>
      <w:tblStyleRowBandSize w:val="1"/>
      <w:tblBorders>
        <w:top w:val="single" w:sz="2" w:space="0" w:color="1E2DBE"/>
        <w:left w:val="single" w:sz="2" w:space="0" w:color="1E2DBE"/>
        <w:bottom w:val="single" w:sz="2" w:space="0" w:color="1E2DBE"/>
        <w:right w:val="single" w:sz="2" w:space="0" w:color="1E2DBE"/>
        <w:insideH w:val="single" w:sz="2" w:space="0" w:color="1E2DBE"/>
        <w:insideV w:val="single" w:sz="2" w:space="0" w:color="1E2DBE"/>
      </w:tblBorders>
      <w:tblCellMar>
        <w:top w:w="28" w:type="dxa"/>
        <w:left w:w="57" w:type="dxa"/>
        <w:bottom w:w="28" w:type="dxa"/>
        <w:right w:w="57" w:type="dxa"/>
      </w:tblCellMar>
    </w:tblPr>
    <w:trPr>
      <w:cantSplit/>
    </w:trPr>
    <w:tcPr>
      <w:shd w:val="clear" w:color="auto" w:fill="auto"/>
      <w:vAlign w:val="center"/>
    </w:tcPr>
    <w:tblStylePr w:type="firstRow">
      <w:pPr>
        <w:jc w:val="left"/>
      </w:pPr>
      <w:tblPr/>
      <w:tcPr>
        <w:tcBorders>
          <w:insideV w:val="single" w:sz="2" w:space="0" w:color="FFFFFF"/>
        </w:tcBorders>
        <w:shd w:val="clear" w:color="auto" w:fill="1E2DBE"/>
      </w:tcPr>
    </w:tblStylePr>
    <w:tblStylePr w:type="band1Horz">
      <w:pPr>
        <w:jc w:val="left"/>
      </w:pPr>
      <w:tblPr/>
      <w:tcPr>
        <w:tcBorders>
          <w:insideH w:val="single" w:sz="4" w:space="0" w:color="1E2DBE"/>
          <w:insideV w:val="single" w:sz="2" w:space="0" w:color="1E2DBE"/>
        </w:tcBorders>
        <w:shd w:val="clear" w:color="auto" w:fill="EBF5FD"/>
      </w:tcPr>
    </w:tblStylePr>
    <w:tblStylePr w:type="band2Horz">
      <w:pPr>
        <w:jc w:val="left"/>
      </w:pPr>
      <w:tblPr/>
      <w:tcPr>
        <w:tcBorders>
          <w:insideH w:val="single" w:sz="4" w:space="0" w:color="1E2DBE"/>
          <w:insideV w:val="single" w:sz="2" w:space="0" w:color="1E2DBE"/>
        </w:tcBorders>
        <w:shd w:val="clear" w:color="auto" w:fill="auto"/>
      </w:tcPr>
    </w:tblStylePr>
  </w:style>
  <w:style w:type="paragraph" w:styleId="Footer">
    <w:name w:val="footer"/>
    <w:basedOn w:val="Normal"/>
    <w:link w:val="FooterChar"/>
    <w:uiPriority w:val="99"/>
    <w:unhideWhenUsed/>
    <w:rsid w:val="00A40D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D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C4C0F-44C4-42DF-9030-B4E8B9E9F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596</Characters>
  <Application>Microsoft Office Word</Application>
  <DocSecurity>0</DocSecurity>
  <Lines>35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ILO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Moga, Iuliana</dc:creator>
  <cp:keywords/>
  <dc:description/>
  <cp:lastModifiedBy>Moga, Iuliana</cp:lastModifiedBy>
  <cp:revision>5</cp:revision>
  <dcterms:created xsi:type="dcterms:W3CDTF">2024-06-06T16:42:00Z</dcterms:created>
  <dcterms:modified xsi:type="dcterms:W3CDTF">2026-01-12T12:37:00Z</dcterms:modified>
</cp:coreProperties>
</file>