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2208"/>
        <w:gridCol w:w="1644"/>
      </w:tblGrid>
      <w:tr w:rsidR="00573C00" w:rsidRPr="003275E0" w14:paraId="6C3D2AAB" w14:textId="77777777" w:rsidTr="00884AD3">
        <w:trPr>
          <w:jc w:val="center"/>
        </w:trPr>
        <w:tc>
          <w:tcPr>
            <w:tcW w:w="3368" w:type="dxa"/>
            <w:vAlign w:val="center"/>
          </w:tcPr>
          <w:p w14:paraId="33D815FF" w14:textId="4485F8D5" w:rsidR="00573C00" w:rsidRPr="003275E0" w:rsidRDefault="00573C00" w:rsidP="00CB3CFE">
            <w:pPr>
              <w:spacing w:after="120"/>
              <w:jc w:val="both"/>
              <w:rPr>
                <w:b/>
                <w:bCs/>
                <w:sz w:val="24"/>
                <w:szCs w:val="24"/>
                <w:lang w:val="en-US"/>
              </w:rPr>
            </w:pPr>
          </w:p>
        </w:tc>
        <w:tc>
          <w:tcPr>
            <w:tcW w:w="2208" w:type="dxa"/>
            <w:vAlign w:val="center"/>
          </w:tcPr>
          <w:p w14:paraId="03D0AE68" w14:textId="5DF6E790" w:rsidR="00573C00" w:rsidRPr="003275E0" w:rsidRDefault="00573C00" w:rsidP="00CB3CFE">
            <w:pPr>
              <w:spacing w:after="120"/>
              <w:jc w:val="both"/>
              <w:rPr>
                <w:b/>
                <w:bCs/>
                <w:sz w:val="24"/>
                <w:szCs w:val="24"/>
                <w:lang w:val="en-US"/>
              </w:rPr>
            </w:pPr>
          </w:p>
        </w:tc>
        <w:tc>
          <w:tcPr>
            <w:tcW w:w="1644" w:type="dxa"/>
          </w:tcPr>
          <w:p w14:paraId="77BF8C4B" w14:textId="213D3EFC" w:rsidR="00573C00" w:rsidRPr="003275E0" w:rsidRDefault="00573C00" w:rsidP="00CB3CFE">
            <w:pPr>
              <w:spacing w:after="120"/>
              <w:rPr>
                <w:b/>
                <w:bCs/>
                <w:sz w:val="24"/>
                <w:szCs w:val="24"/>
                <w:lang w:val="en-US"/>
              </w:rPr>
            </w:pPr>
          </w:p>
        </w:tc>
      </w:tr>
    </w:tbl>
    <w:p w14:paraId="66FC7A52" w14:textId="015E5E11" w:rsidR="0019385E" w:rsidRPr="003275E0" w:rsidRDefault="00153CA2" w:rsidP="00CB3CFE">
      <w:pPr>
        <w:spacing w:after="120"/>
        <w:jc w:val="both"/>
        <w:rPr>
          <w:b/>
          <w:bCs/>
          <w:sz w:val="24"/>
          <w:szCs w:val="24"/>
          <w:lang w:val="en-US"/>
        </w:rPr>
      </w:pPr>
      <w:r w:rsidRPr="003275E0">
        <w:rPr>
          <w:noProof/>
          <w:sz w:val="24"/>
          <w:szCs w:val="24"/>
          <w:lang w:val="en-US"/>
        </w:rPr>
        <w:drawing>
          <wp:anchor distT="0" distB="0" distL="114300" distR="114300" simplePos="0" relativeHeight="251658240" behindDoc="0" locked="0" layoutInCell="1" allowOverlap="1" wp14:anchorId="43B6094F" wp14:editId="1CF1F11E">
            <wp:simplePos x="0" y="0"/>
            <wp:positionH relativeFrom="column">
              <wp:posOffset>5033010</wp:posOffset>
            </wp:positionH>
            <wp:positionV relativeFrom="paragraph">
              <wp:posOffset>-204470</wp:posOffset>
            </wp:positionV>
            <wp:extent cx="1001395" cy="1524000"/>
            <wp:effectExtent l="0" t="0" r="0" b="0"/>
            <wp:wrapThrough wrapText="bothSides">
              <wp:wrapPolygon edited="0">
                <wp:start x="4520" y="2700"/>
                <wp:lineTo x="4109" y="18630"/>
                <wp:lineTo x="17258" y="18630"/>
                <wp:lineTo x="17258" y="2700"/>
                <wp:lineTo x="4520" y="2700"/>
              </wp:wrapPolygon>
            </wp:wrapThrough>
            <wp:docPr id="102437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39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82EC3" w14:textId="50387DB7" w:rsidR="0019385E" w:rsidRPr="003275E0" w:rsidRDefault="00153CA2" w:rsidP="00CB3CFE">
      <w:pPr>
        <w:spacing w:after="120"/>
        <w:jc w:val="both"/>
        <w:rPr>
          <w:b/>
          <w:bCs/>
          <w:sz w:val="24"/>
          <w:szCs w:val="24"/>
          <w:lang w:val="en-US"/>
        </w:rPr>
      </w:pPr>
      <w:r w:rsidRPr="003275E0">
        <w:rPr>
          <w:b/>
          <w:bCs/>
          <w:noProof/>
          <w:sz w:val="24"/>
          <w:szCs w:val="24"/>
          <w:lang w:val="en-US"/>
        </w:rPr>
        <w:drawing>
          <wp:anchor distT="0" distB="0" distL="114300" distR="114300" simplePos="0" relativeHeight="251658241" behindDoc="1" locked="0" layoutInCell="1" allowOverlap="1" wp14:anchorId="671DB342" wp14:editId="007B39CA">
            <wp:simplePos x="0" y="0"/>
            <wp:positionH relativeFrom="margin">
              <wp:posOffset>1946910</wp:posOffset>
            </wp:positionH>
            <wp:positionV relativeFrom="paragraph">
              <wp:posOffset>3810</wp:posOffset>
            </wp:positionV>
            <wp:extent cx="2905760" cy="657211"/>
            <wp:effectExtent l="0" t="0" r="0" b="0"/>
            <wp:wrapNone/>
            <wp:docPr id="1431055336" name="Picture 3" descr="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5336" name="Picture 3" descr="Red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5760" cy="657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BF6B7" w14:textId="15BDDEBF" w:rsidR="0019385E" w:rsidRPr="003275E0" w:rsidRDefault="0019385E" w:rsidP="00CB3CFE">
      <w:pPr>
        <w:spacing w:after="120"/>
        <w:jc w:val="both"/>
        <w:rPr>
          <w:b/>
          <w:bCs/>
          <w:sz w:val="24"/>
          <w:szCs w:val="24"/>
          <w:lang w:val="en-US"/>
        </w:rPr>
      </w:pPr>
    </w:p>
    <w:p w14:paraId="21DD63C4" w14:textId="77777777" w:rsidR="0019385E" w:rsidRPr="003275E0" w:rsidRDefault="0019385E" w:rsidP="00CB3CFE">
      <w:pPr>
        <w:spacing w:after="120"/>
        <w:jc w:val="both"/>
        <w:rPr>
          <w:b/>
          <w:bCs/>
          <w:sz w:val="24"/>
          <w:szCs w:val="24"/>
          <w:lang w:val="en-US"/>
        </w:rPr>
      </w:pPr>
    </w:p>
    <w:p w14:paraId="5586F67A" w14:textId="73A3C3EB" w:rsidR="0019385E" w:rsidRPr="003275E0" w:rsidRDefault="0019385E" w:rsidP="00CB3CFE">
      <w:pPr>
        <w:spacing w:after="120"/>
        <w:jc w:val="center"/>
        <w:rPr>
          <w:b/>
          <w:bCs/>
          <w:sz w:val="24"/>
          <w:szCs w:val="24"/>
          <w:lang w:val="en-US"/>
        </w:rPr>
      </w:pPr>
    </w:p>
    <w:p w14:paraId="6C3C5719" w14:textId="77777777" w:rsidR="00884AD3" w:rsidRPr="003275E0" w:rsidRDefault="00884AD3" w:rsidP="00CB3CFE">
      <w:pPr>
        <w:spacing w:after="120"/>
        <w:jc w:val="center"/>
        <w:rPr>
          <w:b/>
          <w:bCs/>
          <w:sz w:val="24"/>
          <w:szCs w:val="24"/>
          <w:lang w:val="en-US"/>
        </w:rPr>
      </w:pPr>
    </w:p>
    <w:p w14:paraId="4C536A6D" w14:textId="77777777" w:rsidR="00884AD3" w:rsidRPr="003275E0" w:rsidRDefault="00884AD3" w:rsidP="00CB3CFE">
      <w:pPr>
        <w:spacing w:after="120"/>
        <w:jc w:val="center"/>
        <w:rPr>
          <w:b/>
          <w:bCs/>
          <w:sz w:val="24"/>
          <w:szCs w:val="24"/>
          <w:lang w:val="en-US"/>
        </w:rPr>
      </w:pPr>
    </w:p>
    <w:p w14:paraId="62B6E441" w14:textId="77777777" w:rsidR="00884AD3" w:rsidRPr="003275E0" w:rsidRDefault="00884AD3" w:rsidP="00CB3CFE">
      <w:pPr>
        <w:spacing w:after="120"/>
        <w:jc w:val="center"/>
        <w:rPr>
          <w:b/>
          <w:bCs/>
          <w:sz w:val="24"/>
          <w:szCs w:val="24"/>
          <w:lang w:val="en-US"/>
        </w:rPr>
      </w:pPr>
    </w:p>
    <w:p w14:paraId="027BCA13" w14:textId="77777777" w:rsidR="003946D8" w:rsidRPr="003275E0" w:rsidRDefault="003946D8" w:rsidP="00CB3CFE">
      <w:pPr>
        <w:spacing w:after="120"/>
        <w:jc w:val="center"/>
        <w:rPr>
          <w:b/>
          <w:bCs/>
          <w:sz w:val="24"/>
          <w:szCs w:val="24"/>
          <w:lang w:val="en-US"/>
        </w:rPr>
      </w:pPr>
    </w:p>
    <w:p w14:paraId="4B8F3467" w14:textId="77777777" w:rsidR="003946D8" w:rsidRPr="003275E0" w:rsidRDefault="003946D8" w:rsidP="00CB3CFE">
      <w:pPr>
        <w:spacing w:after="120"/>
        <w:jc w:val="center"/>
        <w:rPr>
          <w:b/>
          <w:bCs/>
          <w:sz w:val="24"/>
          <w:szCs w:val="24"/>
          <w:lang w:val="en-US"/>
        </w:rPr>
      </w:pPr>
    </w:p>
    <w:p w14:paraId="02D5AE52" w14:textId="77777777" w:rsidR="003946D8" w:rsidRPr="003275E0" w:rsidRDefault="003946D8" w:rsidP="00CB3CFE">
      <w:pPr>
        <w:spacing w:after="120"/>
        <w:jc w:val="center"/>
        <w:rPr>
          <w:b/>
          <w:bCs/>
          <w:sz w:val="24"/>
          <w:szCs w:val="24"/>
          <w:lang w:val="en-US"/>
        </w:rPr>
      </w:pPr>
    </w:p>
    <w:p w14:paraId="76B80095" w14:textId="77777777" w:rsidR="003946D8" w:rsidRPr="003275E0" w:rsidRDefault="003946D8" w:rsidP="00CB3CFE">
      <w:pPr>
        <w:spacing w:after="120"/>
        <w:jc w:val="center"/>
        <w:rPr>
          <w:b/>
          <w:bCs/>
          <w:sz w:val="24"/>
          <w:szCs w:val="24"/>
          <w:lang w:val="en-US"/>
        </w:rPr>
      </w:pPr>
    </w:p>
    <w:p w14:paraId="1D825175" w14:textId="77777777" w:rsidR="00705262" w:rsidRPr="003275E0" w:rsidRDefault="00705262" w:rsidP="00CB3CFE">
      <w:pPr>
        <w:spacing w:after="120"/>
        <w:jc w:val="center"/>
        <w:rPr>
          <w:b/>
          <w:bCs/>
          <w:sz w:val="24"/>
          <w:szCs w:val="24"/>
          <w:lang w:val="en-US"/>
        </w:rPr>
      </w:pPr>
    </w:p>
    <w:p w14:paraId="2020BC1E" w14:textId="77777777" w:rsidR="00705262" w:rsidRPr="003275E0" w:rsidRDefault="00705262" w:rsidP="00CB3CFE">
      <w:pPr>
        <w:spacing w:after="120"/>
        <w:jc w:val="center"/>
        <w:rPr>
          <w:b/>
          <w:bCs/>
          <w:sz w:val="24"/>
          <w:szCs w:val="24"/>
          <w:lang w:val="en-US"/>
        </w:rPr>
      </w:pPr>
    </w:p>
    <w:p w14:paraId="455B90D5" w14:textId="77777777" w:rsidR="00705262" w:rsidRPr="003275E0" w:rsidRDefault="00705262" w:rsidP="00CB3CFE">
      <w:pPr>
        <w:spacing w:after="120"/>
        <w:jc w:val="center"/>
        <w:rPr>
          <w:b/>
          <w:bCs/>
          <w:sz w:val="24"/>
          <w:szCs w:val="24"/>
          <w:lang w:val="en-US"/>
        </w:rPr>
      </w:pPr>
    </w:p>
    <w:p w14:paraId="136C5B38" w14:textId="15CF3422" w:rsidR="0019385E" w:rsidRPr="003275E0" w:rsidRDefault="00BA3BB9" w:rsidP="00CB3CFE">
      <w:pPr>
        <w:spacing w:after="120"/>
        <w:jc w:val="center"/>
        <w:rPr>
          <w:b/>
          <w:bCs/>
          <w:szCs w:val="28"/>
          <w:lang w:val="en-US"/>
        </w:rPr>
      </w:pPr>
      <w:r w:rsidRPr="003275E0">
        <w:rPr>
          <w:b/>
          <w:bCs/>
          <w:szCs w:val="28"/>
          <w:lang w:val="en-US"/>
        </w:rPr>
        <w:t>APPLICATION GUIDE</w:t>
      </w:r>
    </w:p>
    <w:p w14:paraId="4B7CA217" w14:textId="5729981C" w:rsidR="0019385E" w:rsidRPr="003275E0" w:rsidRDefault="006B0779" w:rsidP="00CB3CFE">
      <w:pPr>
        <w:spacing w:after="120"/>
        <w:jc w:val="center"/>
        <w:rPr>
          <w:szCs w:val="28"/>
          <w:lang w:val="en-US"/>
        </w:rPr>
      </w:pPr>
      <w:r>
        <w:rPr>
          <w:szCs w:val="28"/>
          <w:lang w:val="en-US"/>
        </w:rPr>
        <w:t>Call</w:t>
      </w:r>
      <w:r w:rsidRPr="003275E0">
        <w:rPr>
          <w:szCs w:val="28"/>
          <w:lang w:val="en-US"/>
        </w:rPr>
        <w:t xml:space="preserve"> </w:t>
      </w:r>
      <w:r w:rsidR="00BA3BB9" w:rsidRPr="003275E0">
        <w:rPr>
          <w:szCs w:val="28"/>
          <w:lang w:val="en-US"/>
        </w:rPr>
        <w:t xml:space="preserve">to select </w:t>
      </w:r>
      <w:r w:rsidR="004D3A0D" w:rsidRPr="003275E0">
        <w:rPr>
          <w:szCs w:val="28"/>
          <w:lang w:val="en-US"/>
        </w:rPr>
        <w:t>5</w:t>
      </w:r>
      <w:r w:rsidR="00BA3BB9" w:rsidRPr="003275E0">
        <w:rPr>
          <w:szCs w:val="28"/>
          <w:lang w:val="en-US"/>
        </w:rPr>
        <w:t xml:space="preserve"> companies within the Energy Audit Support Program for </w:t>
      </w:r>
      <w:r w:rsidR="004D3A0D" w:rsidRPr="003275E0">
        <w:rPr>
          <w:lang w:val="en-US"/>
        </w:rPr>
        <w:t>Mandatory Energy Audits of Large Enterprises in the Republic of Moldova</w:t>
      </w:r>
      <w:r w:rsidR="00BA3BB9" w:rsidRPr="003275E0">
        <w:rPr>
          <w:szCs w:val="28"/>
          <w:lang w:val="en-US"/>
        </w:rPr>
        <w:t xml:space="preserve">, implemented under the project </w:t>
      </w:r>
      <w:r w:rsidR="00BA3BB9" w:rsidRPr="003275E0">
        <w:rPr>
          <w:i/>
          <w:iCs/>
          <w:szCs w:val="28"/>
          <w:lang w:val="en-US"/>
        </w:rPr>
        <w:t xml:space="preserve">"Greening the future, advancing rights and stability: Spurring an inclusive and green transition with responsive governance in the Eastern </w:t>
      </w:r>
      <w:proofErr w:type="spellStart"/>
      <w:r w:rsidR="00BA3BB9" w:rsidRPr="003275E0">
        <w:rPr>
          <w:i/>
          <w:iCs/>
          <w:szCs w:val="28"/>
          <w:lang w:val="en-US"/>
        </w:rPr>
        <w:t>Neighbourhood</w:t>
      </w:r>
      <w:proofErr w:type="spellEnd"/>
      <w:r w:rsidR="00BA3BB9" w:rsidRPr="003275E0">
        <w:rPr>
          <w:i/>
          <w:iCs/>
          <w:szCs w:val="28"/>
          <w:lang w:val="en-US"/>
        </w:rPr>
        <w:t xml:space="preserve"> region"</w:t>
      </w:r>
    </w:p>
    <w:p w14:paraId="1CE54B53" w14:textId="77777777" w:rsidR="0019385E" w:rsidRPr="003275E0" w:rsidRDefault="0019385E" w:rsidP="00CB3CFE">
      <w:pPr>
        <w:spacing w:after="120"/>
        <w:jc w:val="center"/>
        <w:rPr>
          <w:b/>
          <w:bCs/>
          <w:sz w:val="24"/>
          <w:szCs w:val="24"/>
          <w:lang w:val="en-US"/>
        </w:rPr>
      </w:pPr>
    </w:p>
    <w:p w14:paraId="1E01B397" w14:textId="77777777" w:rsidR="0019385E" w:rsidRPr="003275E0" w:rsidRDefault="0019385E" w:rsidP="00CB3CFE">
      <w:pPr>
        <w:spacing w:after="120"/>
        <w:jc w:val="center"/>
        <w:rPr>
          <w:b/>
          <w:bCs/>
          <w:sz w:val="24"/>
          <w:szCs w:val="24"/>
          <w:lang w:val="en-US"/>
        </w:rPr>
      </w:pPr>
    </w:p>
    <w:p w14:paraId="16367746" w14:textId="77777777" w:rsidR="0019385E" w:rsidRPr="003275E0" w:rsidRDefault="0019385E" w:rsidP="00CB3CFE">
      <w:pPr>
        <w:spacing w:after="120"/>
        <w:jc w:val="center"/>
        <w:rPr>
          <w:b/>
          <w:bCs/>
          <w:sz w:val="24"/>
          <w:szCs w:val="24"/>
          <w:lang w:val="en-US"/>
        </w:rPr>
      </w:pPr>
    </w:p>
    <w:p w14:paraId="7C146E81" w14:textId="77777777" w:rsidR="007636E3" w:rsidRPr="003275E0" w:rsidRDefault="007636E3" w:rsidP="00CB3CFE">
      <w:pPr>
        <w:spacing w:after="120"/>
        <w:jc w:val="both"/>
        <w:rPr>
          <w:sz w:val="24"/>
          <w:szCs w:val="24"/>
          <w:lang w:val="en-US"/>
        </w:rPr>
      </w:pPr>
    </w:p>
    <w:p w14:paraId="578127EB" w14:textId="77777777" w:rsidR="007636E3" w:rsidRPr="003275E0" w:rsidRDefault="007636E3" w:rsidP="00CB3CFE">
      <w:pPr>
        <w:spacing w:after="120"/>
        <w:jc w:val="both"/>
        <w:rPr>
          <w:sz w:val="24"/>
          <w:szCs w:val="24"/>
          <w:lang w:val="en-US"/>
        </w:rPr>
      </w:pPr>
    </w:p>
    <w:p w14:paraId="5862588D" w14:textId="77777777" w:rsidR="00573C00" w:rsidRPr="003275E0" w:rsidRDefault="00573C00" w:rsidP="00CB3CFE">
      <w:pPr>
        <w:spacing w:after="120"/>
        <w:jc w:val="both"/>
        <w:rPr>
          <w:sz w:val="24"/>
          <w:szCs w:val="24"/>
          <w:lang w:val="en-US"/>
        </w:rPr>
      </w:pPr>
    </w:p>
    <w:p w14:paraId="433CC9C3" w14:textId="77777777" w:rsidR="001D36E4" w:rsidRPr="003275E0" w:rsidRDefault="001D36E4" w:rsidP="00CB3CFE">
      <w:pPr>
        <w:spacing w:after="120"/>
        <w:jc w:val="both"/>
        <w:rPr>
          <w:sz w:val="24"/>
          <w:szCs w:val="24"/>
          <w:lang w:val="en-US"/>
        </w:rPr>
      </w:pPr>
    </w:p>
    <w:p w14:paraId="5A769D2A" w14:textId="77777777" w:rsidR="001D36E4" w:rsidRPr="003275E0" w:rsidRDefault="001D36E4" w:rsidP="00CB3CFE">
      <w:pPr>
        <w:spacing w:after="120"/>
        <w:jc w:val="both"/>
        <w:rPr>
          <w:sz w:val="24"/>
          <w:szCs w:val="24"/>
          <w:lang w:val="en-US"/>
        </w:rPr>
      </w:pPr>
    </w:p>
    <w:p w14:paraId="08C33643" w14:textId="77777777" w:rsidR="001D36E4" w:rsidRPr="003275E0" w:rsidRDefault="001D36E4" w:rsidP="00CB3CFE">
      <w:pPr>
        <w:spacing w:after="120"/>
        <w:jc w:val="both"/>
        <w:rPr>
          <w:sz w:val="24"/>
          <w:szCs w:val="24"/>
          <w:lang w:val="en-US"/>
        </w:rPr>
      </w:pPr>
    </w:p>
    <w:p w14:paraId="1AEE2621" w14:textId="77777777" w:rsidR="001D36E4" w:rsidRDefault="001D36E4" w:rsidP="00CB3CFE">
      <w:pPr>
        <w:spacing w:after="120"/>
        <w:jc w:val="both"/>
        <w:rPr>
          <w:sz w:val="24"/>
          <w:szCs w:val="24"/>
          <w:lang w:val="en-US"/>
        </w:rPr>
      </w:pPr>
    </w:p>
    <w:p w14:paraId="346DF369" w14:textId="77777777" w:rsidR="006B0779" w:rsidRPr="003275E0" w:rsidRDefault="006B0779" w:rsidP="00CB3CFE">
      <w:pPr>
        <w:spacing w:after="120"/>
        <w:jc w:val="both"/>
        <w:rPr>
          <w:sz w:val="24"/>
          <w:szCs w:val="24"/>
          <w:lang w:val="en-US"/>
        </w:rPr>
      </w:pPr>
    </w:p>
    <w:p w14:paraId="61430010" w14:textId="77777777" w:rsidR="001D36E4" w:rsidRPr="003275E0" w:rsidRDefault="001D36E4" w:rsidP="00CB3CFE">
      <w:pPr>
        <w:spacing w:after="120"/>
        <w:jc w:val="both"/>
        <w:rPr>
          <w:sz w:val="24"/>
          <w:szCs w:val="24"/>
          <w:lang w:val="en-US"/>
        </w:rPr>
      </w:pPr>
    </w:p>
    <w:p w14:paraId="445ADFC4" w14:textId="53356DB1" w:rsidR="006B0779" w:rsidRDefault="007636E3" w:rsidP="00CB3CFE">
      <w:pPr>
        <w:spacing w:after="120"/>
        <w:jc w:val="center"/>
        <w:rPr>
          <w:b/>
          <w:bCs/>
          <w:sz w:val="24"/>
          <w:szCs w:val="24"/>
          <w:lang w:val="en-US"/>
        </w:rPr>
      </w:pPr>
      <w:r w:rsidRPr="003275E0">
        <w:rPr>
          <w:b/>
          <w:bCs/>
          <w:sz w:val="24"/>
          <w:szCs w:val="24"/>
          <w:lang w:val="en-US"/>
        </w:rPr>
        <w:t>202</w:t>
      </w:r>
      <w:r w:rsidR="00705262" w:rsidRPr="003275E0">
        <w:rPr>
          <w:b/>
          <w:bCs/>
          <w:sz w:val="24"/>
          <w:szCs w:val="24"/>
          <w:lang w:val="en-US"/>
        </w:rPr>
        <w:t>6</w:t>
      </w:r>
    </w:p>
    <w:p w14:paraId="43BDF5B1" w14:textId="77777777" w:rsidR="006B0779" w:rsidRDefault="006B0779">
      <w:pPr>
        <w:spacing w:line="259" w:lineRule="auto"/>
        <w:rPr>
          <w:b/>
          <w:bCs/>
          <w:sz w:val="24"/>
          <w:szCs w:val="24"/>
          <w:lang w:val="en-US"/>
        </w:rPr>
      </w:pPr>
      <w:r>
        <w:rPr>
          <w:b/>
          <w:bCs/>
          <w:sz w:val="24"/>
          <w:szCs w:val="24"/>
          <w:lang w:val="en-US"/>
        </w:rPr>
        <w:br w:type="page"/>
      </w:r>
    </w:p>
    <w:p w14:paraId="563B84F1" w14:textId="77777777" w:rsidR="00CB3CFE" w:rsidRDefault="00CB3CFE" w:rsidP="00CB3CFE">
      <w:pPr>
        <w:tabs>
          <w:tab w:val="num" w:pos="720"/>
        </w:tabs>
        <w:spacing w:after="120"/>
        <w:jc w:val="both"/>
        <w:rPr>
          <w:b/>
          <w:bCs/>
          <w:sz w:val="24"/>
          <w:szCs w:val="24"/>
          <w:lang w:val="en-US"/>
        </w:rPr>
      </w:pPr>
    </w:p>
    <w:p w14:paraId="51F57A77" w14:textId="15A0D5EC" w:rsidR="00567F12" w:rsidRPr="003275E0" w:rsidRDefault="00567F12" w:rsidP="00CB3CFE">
      <w:pPr>
        <w:tabs>
          <w:tab w:val="num" w:pos="720"/>
        </w:tabs>
        <w:spacing w:after="120"/>
        <w:jc w:val="both"/>
        <w:rPr>
          <w:b/>
          <w:bCs/>
          <w:sz w:val="24"/>
          <w:szCs w:val="24"/>
          <w:lang w:val="en-US"/>
        </w:rPr>
      </w:pPr>
      <w:r w:rsidRPr="003275E0">
        <w:rPr>
          <w:b/>
          <w:bCs/>
          <w:sz w:val="24"/>
          <w:szCs w:val="24"/>
          <w:lang w:val="en-US"/>
        </w:rPr>
        <w:t xml:space="preserve">Introduction </w:t>
      </w:r>
    </w:p>
    <w:p w14:paraId="1A31866C" w14:textId="057F51E9" w:rsidR="00B00290" w:rsidRPr="00B00290" w:rsidRDefault="00B00290" w:rsidP="00CB3CFE">
      <w:pPr>
        <w:tabs>
          <w:tab w:val="num" w:pos="0"/>
        </w:tabs>
        <w:spacing w:after="120"/>
        <w:jc w:val="both"/>
        <w:rPr>
          <w:i/>
          <w:iCs/>
          <w:sz w:val="24"/>
          <w:szCs w:val="24"/>
          <w:lang w:val="en-US"/>
        </w:rPr>
      </w:pPr>
      <w:r w:rsidRPr="00BF388F">
        <w:rPr>
          <w:b/>
          <w:bCs/>
          <w:i/>
          <w:iCs/>
          <w:sz w:val="24"/>
          <w:szCs w:val="24"/>
          <w:lang w:val="en-US"/>
        </w:rPr>
        <w:t>Disclaimer</w:t>
      </w:r>
      <w:r w:rsidRPr="00BF388F">
        <w:rPr>
          <w:i/>
          <w:iCs/>
          <w:sz w:val="24"/>
          <w:szCs w:val="24"/>
          <w:lang w:val="en-US"/>
        </w:rPr>
        <w:t xml:space="preserve">: </w:t>
      </w:r>
      <w:r w:rsidR="00BF388F" w:rsidRPr="00BF388F">
        <w:rPr>
          <w:i/>
          <w:iCs/>
          <w:sz w:val="24"/>
          <w:szCs w:val="24"/>
          <w:lang w:val="en-US"/>
        </w:rPr>
        <w:t>Selected enterprises will be engaged as Responsible Parties (RPs) under a Low Value Performance-Based Payment (PBP) Agreement, in accordance with UNDP policies and procedures. Payments are strictly performance-based and are made only upon verified achievement of agreed results and completion of deliverables, as defined in the Agreement. All payments are contingent upon CNED validation of the audit reports and verification against the agreed payment-linked indicators</w:t>
      </w:r>
      <w:r w:rsidR="00CB3CFE" w:rsidRPr="00BF388F">
        <w:rPr>
          <w:i/>
          <w:iCs/>
          <w:sz w:val="24"/>
          <w:szCs w:val="24"/>
          <w:lang w:val="en-US"/>
        </w:rPr>
        <w:t>.</w:t>
      </w:r>
    </w:p>
    <w:p w14:paraId="78D01CD3" w14:textId="78FEA84F" w:rsidR="00567F12" w:rsidRPr="003275E0" w:rsidRDefault="00567F12" w:rsidP="00CB3CFE">
      <w:pPr>
        <w:tabs>
          <w:tab w:val="num" w:pos="0"/>
        </w:tabs>
        <w:spacing w:after="120"/>
        <w:jc w:val="both"/>
        <w:rPr>
          <w:sz w:val="24"/>
          <w:szCs w:val="24"/>
          <w:lang w:val="en-US"/>
        </w:rPr>
      </w:pPr>
      <w:r w:rsidRPr="003275E0">
        <w:rPr>
          <w:sz w:val="24"/>
          <w:szCs w:val="24"/>
          <w:lang w:val="en-US"/>
        </w:rPr>
        <w:t>With the support of the Government of Denmark, the United Nations Development Program</w:t>
      </w:r>
      <w:r w:rsidR="00841629" w:rsidRPr="003275E0">
        <w:rPr>
          <w:sz w:val="24"/>
          <w:szCs w:val="24"/>
          <w:lang w:val="en-US"/>
        </w:rPr>
        <w:t xml:space="preserve"> </w:t>
      </w:r>
      <w:r w:rsidRPr="003275E0">
        <w:rPr>
          <w:sz w:val="24"/>
          <w:szCs w:val="24"/>
          <w:lang w:val="en-US"/>
        </w:rPr>
        <w:t xml:space="preserve">(UNDP) is implementing the regional project “Greening the Future, Advancing Rights and Stability: Spurring an Inclusive and Green Transition with Responsive Governance in the Eastern </w:t>
      </w:r>
      <w:proofErr w:type="spellStart"/>
      <w:r w:rsidRPr="003275E0">
        <w:rPr>
          <w:sz w:val="24"/>
          <w:szCs w:val="24"/>
          <w:lang w:val="en-US"/>
        </w:rPr>
        <w:t>Neighbourhood</w:t>
      </w:r>
      <w:proofErr w:type="spellEnd"/>
      <w:r w:rsidRPr="003275E0">
        <w:rPr>
          <w:sz w:val="24"/>
          <w:szCs w:val="24"/>
          <w:lang w:val="en-US"/>
        </w:rPr>
        <w:t xml:space="preserve"> Region”, which aims to accelerate the green transition in the Republic of Moldova by promoting energy efficiency, reducing greenhouse gas emissions, and strengthening compliance with national energy efficiency legislation.</w:t>
      </w:r>
    </w:p>
    <w:p w14:paraId="653AF6C5" w14:textId="0E6185AA" w:rsidR="00FB00F9" w:rsidRPr="003275E0" w:rsidRDefault="00567F12" w:rsidP="00CB3CFE">
      <w:pPr>
        <w:tabs>
          <w:tab w:val="num" w:pos="0"/>
        </w:tabs>
        <w:spacing w:after="120"/>
        <w:jc w:val="both"/>
        <w:rPr>
          <w:sz w:val="24"/>
          <w:szCs w:val="24"/>
          <w:lang w:val="en-US"/>
        </w:rPr>
      </w:pPr>
      <w:r w:rsidRPr="003275E0">
        <w:rPr>
          <w:sz w:val="24"/>
          <w:szCs w:val="24"/>
          <w:lang w:val="en-US"/>
        </w:rPr>
        <w:t>Within this framework, UNDP is launching a competitive selection process to identify 5 large enterprises from the official list of 45 large enterprises obligated to conduct mandatory energy audits, as approved by the Order of the Director of the National Centre for Sustainable Energy (CNED) no. 60/AB dated 30 December 2025</w:t>
      </w:r>
      <w:r w:rsidR="0073221E" w:rsidRPr="003275E0">
        <w:rPr>
          <w:rStyle w:val="FootnoteReference"/>
          <w:sz w:val="24"/>
          <w:szCs w:val="24"/>
          <w:lang w:val="en-US"/>
        </w:rPr>
        <w:footnoteReference w:id="1"/>
      </w:r>
      <w:r w:rsidRPr="003275E0">
        <w:rPr>
          <w:sz w:val="24"/>
          <w:szCs w:val="24"/>
          <w:lang w:val="en-US"/>
        </w:rPr>
        <w:t xml:space="preserve">. Under this program, UNDP will provide </w:t>
      </w:r>
      <w:r w:rsidR="00A14462" w:rsidRPr="00A14462">
        <w:rPr>
          <w:sz w:val="24"/>
          <w:szCs w:val="24"/>
          <w:lang w:val="en-US"/>
        </w:rPr>
        <w:t xml:space="preserve">performance-based payments of up to USD 10,000 per validated energy audit </w:t>
      </w:r>
      <w:r w:rsidR="00D85042" w:rsidRPr="00A14462">
        <w:rPr>
          <w:sz w:val="24"/>
          <w:szCs w:val="24"/>
          <w:lang w:val="en-US"/>
        </w:rPr>
        <w:t>report but</w:t>
      </w:r>
      <w:r w:rsidR="00A14462" w:rsidRPr="00A14462">
        <w:rPr>
          <w:sz w:val="24"/>
          <w:szCs w:val="24"/>
          <w:lang w:val="en-US"/>
        </w:rPr>
        <w:t xml:space="preserve"> not exceeding 50% of the total contract cost for energy audit services</w:t>
      </w:r>
      <w:r w:rsidRPr="003275E0">
        <w:rPr>
          <w:sz w:val="24"/>
          <w:szCs w:val="24"/>
          <w:lang w:val="en-US"/>
        </w:rPr>
        <w:t xml:space="preserve">. </w:t>
      </w:r>
    </w:p>
    <w:p w14:paraId="6B04AAB6" w14:textId="67A7C933" w:rsidR="003D494F" w:rsidRPr="003275E0" w:rsidRDefault="00567F12" w:rsidP="00CB3CFE">
      <w:pPr>
        <w:tabs>
          <w:tab w:val="num" w:pos="0"/>
        </w:tabs>
        <w:spacing w:after="120"/>
        <w:jc w:val="both"/>
        <w:rPr>
          <w:sz w:val="24"/>
          <w:szCs w:val="24"/>
          <w:lang w:val="en-US"/>
        </w:rPr>
      </w:pPr>
      <w:r w:rsidRPr="003275E0">
        <w:rPr>
          <w:sz w:val="24"/>
          <w:szCs w:val="24"/>
          <w:lang w:val="en-US"/>
        </w:rPr>
        <w:t xml:space="preserve">Additionally, if the selected </w:t>
      </w:r>
      <w:r w:rsidR="007801AA" w:rsidRPr="003275E0">
        <w:rPr>
          <w:sz w:val="24"/>
          <w:szCs w:val="24"/>
          <w:lang w:val="en-US"/>
        </w:rPr>
        <w:t>com</w:t>
      </w:r>
      <w:r w:rsidR="00F32F23" w:rsidRPr="003275E0">
        <w:rPr>
          <w:sz w:val="24"/>
          <w:szCs w:val="24"/>
          <w:lang w:val="en-US"/>
        </w:rPr>
        <w:t>panies</w:t>
      </w:r>
      <w:r w:rsidRPr="003275E0">
        <w:rPr>
          <w:sz w:val="24"/>
          <w:szCs w:val="24"/>
          <w:lang w:val="en-US"/>
        </w:rPr>
        <w:t xml:space="preserve"> </w:t>
      </w:r>
      <w:r w:rsidR="00C169F4" w:rsidRPr="003275E0">
        <w:rPr>
          <w:sz w:val="24"/>
          <w:szCs w:val="24"/>
          <w:lang w:val="en-US"/>
        </w:rPr>
        <w:t>demonstrate that they have initiated the adoption of the</w:t>
      </w:r>
      <w:r w:rsidRPr="003275E0">
        <w:rPr>
          <w:sz w:val="24"/>
          <w:szCs w:val="24"/>
          <w:lang w:val="en-US"/>
        </w:rPr>
        <w:t xml:space="preserve"> energy efficiency-related ISO standards (such as ISO 50001) and/or implement energy management systems, they may receive targeted technical support of up to USD 4,000 per enterprise. </w:t>
      </w:r>
    </w:p>
    <w:p w14:paraId="62EED5B8" w14:textId="43410A69" w:rsidR="00567F12" w:rsidRPr="003275E0" w:rsidRDefault="007550B1" w:rsidP="00CB3CFE">
      <w:pPr>
        <w:tabs>
          <w:tab w:val="num" w:pos="0"/>
        </w:tabs>
        <w:spacing w:after="120"/>
        <w:jc w:val="both"/>
        <w:rPr>
          <w:sz w:val="24"/>
          <w:szCs w:val="24"/>
          <w:lang w:val="en-US"/>
        </w:rPr>
      </w:pPr>
      <w:r w:rsidRPr="007550B1">
        <w:rPr>
          <w:sz w:val="24"/>
          <w:szCs w:val="24"/>
          <w:lang w:val="en-US"/>
        </w:rPr>
        <w:t>No upfront payments will be provided under this program. All financial support is strictly performance-based and contingent upon verified achievement of results and CNED validation of deliverables</w:t>
      </w:r>
      <w:r w:rsidR="00567F12" w:rsidRPr="007550B1">
        <w:rPr>
          <w:sz w:val="24"/>
          <w:szCs w:val="24"/>
          <w:lang w:val="en-US"/>
        </w:rPr>
        <w:t>.</w:t>
      </w:r>
    </w:p>
    <w:p w14:paraId="7F89D27A" w14:textId="77777777" w:rsidR="00567F12" w:rsidRPr="003275E0" w:rsidRDefault="00567F12" w:rsidP="00CB3CFE">
      <w:pPr>
        <w:tabs>
          <w:tab w:val="num" w:pos="0"/>
        </w:tabs>
        <w:spacing w:after="120"/>
        <w:jc w:val="both"/>
        <w:rPr>
          <w:sz w:val="24"/>
          <w:szCs w:val="24"/>
          <w:lang w:val="en-US"/>
        </w:rPr>
      </w:pPr>
      <w:r w:rsidRPr="003275E0">
        <w:rPr>
          <w:sz w:val="24"/>
          <w:szCs w:val="24"/>
          <w:lang w:val="en-US"/>
        </w:rPr>
        <w:t>Energy auditing is a key instrument of the national energy efficiency policy framework and serves as a practical tool for identifying energy-saving opportunities, improving operational efficiency, and reducing greenhouse gas emissions. According to the Law on Energy Efficiency No. 139/2018 (as amended), large enterprises are subject to mandatory energy audits every four years, following notification by CNED. The list of obligated enterprises and related requirements are further detailed in the Regulation on Energy Auditors and Energy Auditing, approved by Government Decision No. 676/2020, and in the specific Regulation on conducting energy audits by large enterprises. Many of these enterprises face financial and technical barriers in fulfilling this obligation within the required timeframe. This program aims to address these barriers by providing partial financial support for high-quality mandatory audits, thereby facilitating compliance and promoting subsequent implementation of recommended measures.</w:t>
      </w:r>
    </w:p>
    <w:p w14:paraId="655C7BF8" w14:textId="5812D5C3" w:rsidR="00567F12" w:rsidRPr="003275E0" w:rsidRDefault="00567F12" w:rsidP="00CB3CFE">
      <w:pPr>
        <w:tabs>
          <w:tab w:val="num" w:pos="0"/>
        </w:tabs>
        <w:spacing w:after="120"/>
        <w:jc w:val="both"/>
        <w:rPr>
          <w:sz w:val="24"/>
          <w:szCs w:val="24"/>
          <w:lang w:val="en-US"/>
        </w:rPr>
      </w:pPr>
      <w:r w:rsidRPr="00A14462">
        <w:rPr>
          <w:sz w:val="24"/>
          <w:szCs w:val="24"/>
          <w:lang w:val="en-US"/>
        </w:rPr>
        <w:t>The selection process will prioritize state-owned or municipal large enterprises providing essential social goods or services to the population (such as food production, water supply and sanitation, energy generation</w:t>
      </w:r>
      <w:r w:rsidR="009D416F" w:rsidRPr="00A14462">
        <w:rPr>
          <w:sz w:val="24"/>
          <w:szCs w:val="24"/>
          <w:lang w:val="en-US"/>
        </w:rPr>
        <w:t xml:space="preserve"> </w:t>
      </w:r>
      <w:r w:rsidRPr="00A14462">
        <w:rPr>
          <w:sz w:val="24"/>
          <w:szCs w:val="24"/>
          <w:lang w:val="en-US"/>
        </w:rPr>
        <w:t>/</w:t>
      </w:r>
      <w:r w:rsidR="009D416F" w:rsidRPr="00A14462">
        <w:rPr>
          <w:sz w:val="24"/>
          <w:szCs w:val="24"/>
          <w:lang w:val="en-US"/>
        </w:rPr>
        <w:t xml:space="preserve"> </w:t>
      </w:r>
      <w:r w:rsidR="00514A1A" w:rsidRPr="00A14462">
        <w:rPr>
          <w:sz w:val="24"/>
          <w:szCs w:val="24"/>
          <w:lang w:val="en-US"/>
        </w:rPr>
        <w:t>distribution /</w:t>
      </w:r>
      <w:r w:rsidRPr="00A14462">
        <w:rPr>
          <w:sz w:val="24"/>
          <w:szCs w:val="24"/>
          <w:lang w:val="en-US"/>
        </w:rPr>
        <w:t xml:space="preserve"> transport, or other critical services).</w:t>
      </w:r>
      <w:r w:rsidRPr="003275E0">
        <w:rPr>
          <w:sz w:val="24"/>
          <w:szCs w:val="24"/>
          <w:lang w:val="en-US"/>
        </w:rPr>
        <w:t xml:space="preserve"> Selected enterprises will receive support for conducting comprehensive energy audits, resulting in a validated report that includes an assessment of current energy use, identification of inefficiencies, and a set of </w:t>
      </w:r>
      <w:r w:rsidRPr="003275E0">
        <w:rPr>
          <w:sz w:val="24"/>
          <w:szCs w:val="24"/>
          <w:lang w:val="en-US"/>
        </w:rPr>
        <w:lastRenderedPageBreak/>
        <w:t>technically and economically justified recommendations for energy efficiency improvements and potential renewable energy integration.</w:t>
      </w:r>
    </w:p>
    <w:p w14:paraId="280CB76E" w14:textId="3139313E" w:rsidR="00567F12" w:rsidRPr="003275E0" w:rsidRDefault="00567F12" w:rsidP="00CB3CFE">
      <w:pPr>
        <w:tabs>
          <w:tab w:val="num" w:pos="0"/>
        </w:tabs>
        <w:spacing w:after="120"/>
        <w:jc w:val="both"/>
        <w:rPr>
          <w:sz w:val="24"/>
          <w:szCs w:val="24"/>
          <w:lang w:val="en-US"/>
        </w:rPr>
      </w:pPr>
      <w:r w:rsidRPr="003275E0">
        <w:rPr>
          <w:sz w:val="24"/>
          <w:szCs w:val="24"/>
          <w:lang w:val="en-US"/>
        </w:rPr>
        <w:t xml:space="preserve">All energy audits supported under this program will be conducted in full compliance with the national legal and quality assurance framework, including Government Decision No. 676/2020 and the relevant CNED regulations. Audit services must be provided by qualified companies employing accredited energy auditors registered in the Electronic Register of Energy Auditors managed by CNED. </w:t>
      </w:r>
      <w:r w:rsidR="001B7ECE">
        <w:rPr>
          <w:sz w:val="24"/>
          <w:szCs w:val="24"/>
          <w:lang w:val="en-US"/>
        </w:rPr>
        <w:t>O</w:t>
      </w:r>
      <w:r w:rsidR="001B7ECE" w:rsidRPr="001B7ECE">
        <w:rPr>
          <w:sz w:val="24"/>
          <w:szCs w:val="24"/>
          <w:lang w:val="en-US"/>
        </w:rPr>
        <w:t xml:space="preserve">nly CNED-validated audit reports shall qualify </w:t>
      </w:r>
      <w:r w:rsidR="001B7ECE" w:rsidRPr="00E8649B">
        <w:rPr>
          <w:sz w:val="24"/>
          <w:szCs w:val="24"/>
          <w:lang w:val="en-US"/>
        </w:rPr>
        <w:t>for performance-based payments, in accordance with the agreed results and payment-linked indicators</w:t>
      </w:r>
      <w:r w:rsidRPr="00E8649B">
        <w:rPr>
          <w:sz w:val="24"/>
          <w:szCs w:val="24"/>
          <w:lang w:val="en-US"/>
        </w:rPr>
        <w:t>.</w:t>
      </w:r>
    </w:p>
    <w:p w14:paraId="23ABA173" w14:textId="77777777" w:rsidR="004E4154" w:rsidRPr="003275E0" w:rsidRDefault="00567F12" w:rsidP="00CB3CFE">
      <w:pPr>
        <w:tabs>
          <w:tab w:val="num" w:pos="0"/>
        </w:tabs>
        <w:spacing w:after="120"/>
        <w:jc w:val="both"/>
        <w:rPr>
          <w:b/>
          <w:bCs/>
          <w:sz w:val="24"/>
          <w:szCs w:val="24"/>
          <w:lang w:val="en-US"/>
        </w:rPr>
      </w:pPr>
      <w:proofErr w:type="gramStart"/>
      <w:r w:rsidRPr="003275E0">
        <w:rPr>
          <w:b/>
          <w:bCs/>
          <w:sz w:val="24"/>
          <w:szCs w:val="24"/>
          <w:lang w:val="en-US"/>
        </w:rPr>
        <w:t>Overall</w:t>
      </w:r>
      <w:proofErr w:type="gramEnd"/>
      <w:r w:rsidRPr="003275E0">
        <w:rPr>
          <w:b/>
          <w:bCs/>
          <w:sz w:val="24"/>
          <w:szCs w:val="24"/>
          <w:lang w:val="en-US"/>
        </w:rPr>
        <w:t xml:space="preserve"> Purpose </w:t>
      </w:r>
    </w:p>
    <w:p w14:paraId="0AE5C4BD" w14:textId="0A5D8CC7" w:rsidR="00567F12" w:rsidRPr="003275E0" w:rsidRDefault="00567F12" w:rsidP="00CB3CFE">
      <w:pPr>
        <w:tabs>
          <w:tab w:val="num" w:pos="0"/>
        </w:tabs>
        <w:spacing w:after="120"/>
        <w:jc w:val="both"/>
        <w:rPr>
          <w:sz w:val="24"/>
          <w:szCs w:val="24"/>
          <w:lang w:val="en-US"/>
        </w:rPr>
      </w:pPr>
      <w:r w:rsidRPr="003275E0">
        <w:rPr>
          <w:sz w:val="24"/>
          <w:szCs w:val="24"/>
          <w:lang w:val="en-US"/>
        </w:rPr>
        <w:t>The Energy Audit Support for Large Enterprises aims to assist selected large state-owned or municipal enterprises in the Republic of Moldova in fulfilling their mandatory energy audit obligations under national legislation, while promoting the adoption of energy management systems and contributing to Moldova’s green and inclusive transition.</w:t>
      </w:r>
    </w:p>
    <w:p w14:paraId="6EF90D74" w14:textId="77777777" w:rsidR="004E4154" w:rsidRPr="003275E0" w:rsidRDefault="00567F12" w:rsidP="00CB3CFE">
      <w:pPr>
        <w:tabs>
          <w:tab w:val="num" w:pos="720"/>
        </w:tabs>
        <w:spacing w:after="120"/>
        <w:jc w:val="both"/>
        <w:rPr>
          <w:b/>
          <w:bCs/>
          <w:sz w:val="24"/>
          <w:szCs w:val="24"/>
          <w:lang w:val="en-US"/>
        </w:rPr>
      </w:pPr>
      <w:r w:rsidRPr="003275E0">
        <w:rPr>
          <w:b/>
          <w:bCs/>
          <w:sz w:val="24"/>
          <w:szCs w:val="24"/>
          <w:lang w:val="en-US"/>
        </w:rPr>
        <w:t xml:space="preserve">Specific Objectives </w:t>
      </w:r>
    </w:p>
    <w:p w14:paraId="2BB94EF8" w14:textId="41EE5328" w:rsidR="00567F12" w:rsidRPr="003275E0" w:rsidRDefault="00567F12" w:rsidP="00CB3CFE">
      <w:pPr>
        <w:tabs>
          <w:tab w:val="num" w:pos="720"/>
        </w:tabs>
        <w:spacing w:after="120"/>
        <w:jc w:val="both"/>
        <w:rPr>
          <w:sz w:val="24"/>
          <w:szCs w:val="24"/>
          <w:lang w:val="en-US"/>
        </w:rPr>
      </w:pPr>
      <w:r w:rsidRPr="003275E0">
        <w:rPr>
          <w:sz w:val="24"/>
          <w:szCs w:val="24"/>
          <w:lang w:val="en-US"/>
        </w:rPr>
        <w:t>The specific objectives of the program are to:</w:t>
      </w:r>
    </w:p>
    <w:p w14:paraId="7F173E6E" w14:textId="77777777" w:rsidR="00567F12" w:rsidRPr="003275E0" w:rsidRDefault="00567F12" w:rsidP="00CB3CFE">
      <w:pPr>
        <w:numPr>
          <w:ilvl w:val="0"/>
          <w:numId w:val="5"/>
        </w:numPr>
        <w:spacing w:after="120"/>
        <w:jc w:val="both"/>
        <w:rPr>
          <w:sz w:val="24"/>
          <w:szCs w:val="24"/>
          <w:lang w:val="en-US"/>
        </w:rPr>
      </w:pPr>
      <w:r w:rsidRPr="003275E0">
        <w:rPr>
          <w:sz w:val="24"/>
          <w:szCs w:val="24"/>
          <w:lang w:val="en-US"/>
        </w:rPr>
        <w:t xml:space="preserve">Facilitate compliance with mandatory energy audit requirements for large enterprises as established by Law No. 139/2018 and CNED </w:t>
      </w:r>
      <w:proofErr w:type="gramStart"/>
      <w:r w:rsidRPr="003275E0">
        <w:rPr>
          <w:sz w:val="24"/>
          <w:szCs w:val="24"/>
          <w:lang w:val="en-US"/>
        </w:rPr>
        <w:t>notifications;</w:t>
      </w:r>
      <w:proofErr w:type="gramEnd"/>
    </w:p>
    <w:p w14:paraId="39C306F6" w14:textId="77777777" w:rsidR="00567F12" w:rsidRPr="003275E0" w:rsidRDefault="00567F12" w:rsidP="00CB3CFE">
      <w:pPr>
        <w:numPr>
          <w:ilvl w:val="0"/>
          <w:numId w:val="5"/>
        </w:numPr>
        <w:spacing w:after="120"/>
        <w:jc w:val="both"/>
        <w:rPr>
          <w:sz w:val="24"/>
          <w:szCs w:val="24"/>
          <w:lang w:val="en-US"/>
        </w:rPr>
      </w:pPr>
      <w:r w:rsidRPr="003275E0">
        <w:rPr>
          <w:sz w:val="24"/>
          <w:szCs w:val="24"/>
          <w:lang w:val="en-US"/>
        </w:rPr>
        <w:t xml:space="preserve">Reduce financial barriers associated with conducting high-quality mandatory energy </w:t>
      </w:r>
      <w:proofErr w:type="gramStart"/>
      <w:r w:rsidRPr="003275E0">
        <w:rPr>
          <w:sz w:val="24"/>
          <w:szCs w:val="24"/>
          <w:lang w:val="en-US"/>
        </w:rPr>
        <w:t>audits;</w:t>
      </w:r>
      <w:proofErr w:type="gramEnd"/>
    </w:p>
    <w:p w14:paraId="09EECEBB" w14:textId="77777777" w:rsidR="00567F12" w:rsidRPr="003275E0" w:rsidRDefault="00567F12" w:rsidP="00CB3CFE">
      <w:pPr>
        <w:numPr>
          <w:ilvl w:val="0"/>
          <w:numId w:val="5"/>
        </w:numPr>
        <w:spacing w:after="120"/>
        <w:jc w:val="both"/>
        <w:rPr>
          <w:sz w:val="24"/>
          <w:szCs w:val="24"/>
          <w:lang w:val="en-US"/>
        </w:rPr>
      </w:pPr>
      <w:r w:rsidRPr="003275E0">
        <w:rPr>
          <w:sz w:val="24"/>
          <w:szCs w:val="24"/>
          <w:lang w:val="en-US"/>
        </w:rPr>
        <w:t>Promote the adoption of energy efficiency measures, renewable energy solutions, and energy management systems (e.g., ISO 50001</w:t>
      </w:r>
      <w:proofErr w:type="gramStart"/>
      <w:r w:rsidRPr="003275E0">
        <w:rPr>
          <w:sz w:val="24"/>
          <w:szCs w:val="24"/>
          <w:lang w:val="en-US"/>
        </w:rPr>
        <w:t>);</w:t>
      </w:r>
      <w:proofErr w:type="gramEnd"/>
    </w:p>
    <w:p w14:paraId="297D9ABA" w14:textId="77777777" w:rsidR="00567F12" w:rsidRPr="003275E0" w:rsidRDefault="00567F12" w:rsidP="00CB3CFE">
      <w:pPr>
        <w:numPr>
          <w:ilvl w:val="0"/>
          <w:numId w:val="5"/>
        </w:numPr>
        <w:spacing w:after="120"/>
        <w:jc w:val="both"/>
        <w:rPr>
          <w:sz w:val="24"/>
          <w:szCs w:val="24"/>
          <w:lang w:val="en-US"/>
        </w:rPr>
      </w:pPr>
      <w:r w:rsidRPr="003275E0">
        <w:rPr>
          <w:sz w:val="24"/>
          <w:szCs w:val="24"/>
          <w:lang w:val="en-US"/>
        </w:rPr>
        <w:t xml:space="preserve">Contribute to reduced energy consumption, greenhouse gas emissions, and operational costs in strategically important sectors providing essential </w:t>
      </w:r>
      <w:proofErr w:type="gramStart"/>
      <w:r w:rsidRPr="003275E0">
        <w:rPr>
          <w:sz w:val="24"/>
          <w:szCs w:val="24"/>
          <w:lang w:val="en-US"/>
        </w:rPr>
        <w:t>services;</w:t>
      </w:r>
      <w:proofErr w:type="gramEnd"/>
    </w:p>
    <w:p w14:paraId="52A58D4A" w14:textId="77777777" w:rsidR="00567F12" w:rsidRPr="003275E0" w:rsidRDefault="00567F12" w:rsidP="00CB3CFE">
      <w:pPr>
        <w:numPr>
          <w:ilvl w:val="0"/>
          <w:numId w:val="5"/>
        </w:numPr>
        <w:spacing w:after="120"/>
        <w:jc w:val="both"/>
        <w:rPr>
          <w:sz w:val="24"/>
          <w:szCs w:val="24"/>
          <w:lang w:val="en-US"/>
        </w:rPr>
      </w:pPr>
      <w:proofErr w:type="gramStart"/>
      <w:r w:rsidRPr="003275E0">
        <w:rPr>
          <w:sz w:val="24"/>
          <w:szCs w:val="24"/>
          <w:lang w:val="en-US"/>
        </w:rPr>
        <w:t>Strengthen</w:t>
      </w:r>
      <w:proofErr w:type="gramEnd"/>
      <w:r w:rsidRPr="003275E0">
        <w:rPr>
          <w:sz w:val="24"/>
          <w:szCs w:val="24"/>
          <w:lang w:val="en-US"/>
        </w:rPr>
        <w:t xml:space="preserve"> cooperation between public enterprises, central authorities (CNED, Ministry of Energy), and development partners in advancing national energy efficiency objectives.</w:t>
      </w:r>
    </w:p>
    <w:p w14:paraId="62FC8789" w14:textId="77777777" w:rsidR="00436ACB" w:rsidRPr="003275E0" w:rsidRDefault="00567F12" w:rsidP="00CB3CFE">
      <w:pPr>
        <w:tabs>
          <w:tab w:val="num" w:pos="720"/>
        </w:tabs>
        <w:spacing w:after="120"/>
        <w:jc w:val="both"/>
        <w:rPr>
          <w:sz w:val="24"/>
          <w:szCs w:val="24"/>
          <w:lang w:val="en-US"/>
        </w:rPr>
      </w:pPr>
      <w:r w:rsidRPr="003275E0">
        <w:rPr>
          <w:sz w:val="24"/>
          <w:szCs w:val="24"/>
          <w:lang w:val="en-US"/>
        </w:rPr>
        <w:t xml:space="preserve">The adoption of energy efficiency measures and renewable energy-based technologies offers large enterprises a range of tangible benefits that directly support operational sustainability, service reliability, fiscal responsibility, and long-term resilience. Conducting a mandatory energy audit represents an essential step in identifying these benefits and translating them into concrete actions. </w:t>
      </w:r>
    </w:p>
    <w:p w14:paraId="342A20CE" w14:textId="44ED69B1" w:rsidR="00567F12" w:rsidRPr="003275E0" w:rsidRDefault="00567F12" w:rsidP="00CB3CFE">
      <w:pPr>
        <w:tabs>
          <w:tab w:val="num" w:pos="720"/>
        </w:tabs>
        <w:spacing w:after="120"/>
        <w:jc w:val="both"/>
        <w:rPr>
          <w:b/>
          <w:bCs/>
          <w:sz w:val="24"/>
          <w:szCs w:val="24"/>
          <w:lang w:val="en-US"/>
        </w:rPr>
      </w:pPr>
      <w:r w:rsidRPr="003275E0">
        <w:rPr>
          <w:b/>
          <w:bCs/>
          <w:sz w:val="24"/>
          <w:szCs w:val="24"/>
          <w:lang w:val="en-US"/>
        </w:rPr>
        <w:t>Key advantages include:</w:t>
      </w:r>
    </w:p>
    <w:p w14:paraId="31684591" w14:textId="77777777" w:rsidR="003F4FB9" w:rsidRPr="003275E0" w:rsidRDefault="00567F12" w:rsidP="00CB3CFE">
      <w:pPr>
        <w:numPr>
          <w:ilvl w:val="0"/>
          <w:numId w:val="6"/>
        </w:numPr>
        <w:spacing w:after="120"/>
        <w:jc w:val="both"/>
        <w:rPr>
          <w:i/>
          <w:iCs/>
          <w:sz w:val="24"/>
          <w:szCs w:val="24"/>
          <w:u w:val="single"/>
          <w:lang w:val="en-US"/>
        </w:rPr>
      </w:pPr>
      <w:r w:rsidRPr="003275E0">
        <w:rPr>
          <w:i/>
          <w:iCs/>
          <w:sz w:val="24"/>
          <w:szCs w:val="24"/>
          <w:u w:val="single"/>
          <w:lang w:val="en-US"/>
        </w:rPr>
        <w:t xml:space="preserve">Reduction of operational and energy costs </w:t>
      </w:r>
    </w:p>
    <w:p w14:paraId="4F395F45" w14:textId="64D5AF9B" w:rsidR="00567F12" w:rsidRPr="003275E0" w:rsidRDefault="00567F12" w:rsidP="00CB3CFE">
      <w:pPr>
        <w:spacing w:after="120"/>
        <w:ind w:left="720"/>
        <w:jc w:val="both"/>
        <w:rPr>
          <w:sz w:val="24"/>
          <w:szCs w:val="24"/>
          <w:lang w:val="en-US"/>
        </w:rPr>
      </w:pPr>
      <w:r w:rsidRPr="003275E0">
        <w:rPr>
          <w:sz w:val="24"/>
          <w:szCs w:val="24"/>
          <w:lang w:val="en-US"/>
        </w:rPr>
        <w:t xml:space="preserve">The implementation of energy efficiency measures – such as thermal insulation of buildings, modernization of heating, cooling, and ventilation systems, optimization of production or distribution processes, or upgrading to efficient equipment – can significantly reduce electricity, fuel, and thermal energy consumption. In </w:t>
      </w:r>
      <w:r w:rsidR="00CB3CFE" w:rsidRPr="003275E0">
        <w:rPr>
          <w:sz w:val="24"/>
          <w:szCs w:val="24"/>
          <w:lang w:val="en-US"/>
        </w:rPr>
        <w:t>the context</w:t>
      </w:r>
      <w:r w:rsidRPr="003275E0">
        <w:rPr>
          <w:sz w:val="24"/>
          <w:szCs w:val="24"/>
          <w:lang w:val="en-US"/>
        </w:rPr>
        <w:t xml:space="preserve"> of volatile energy prices and constrained public budgets, these savings enhance financial sustainability and free up resources for core service delivery, infrastructure maintenance, or social investments. Well-targeted measures can lead to energy cost reductions of 15–35%, depending on the sector and baseline conditions.</w:t>
      </w:r>
    </w:p>
    <w:p w14:paraId="362F487C" w14:textId="77777777" w:rsidR="003F4FB9" w:rsidRPr="003275E0" w:rsidRDefault="00567F12" w:rsidP="00CB3CFE">
      <w:pPr>
        <w:numPr>
          <w:ilvl w:val="0"/>
          <w:numId w:val="6"/>
        </w:numPr>
        <w:spacing w:after="120"/>
        <w:jc w:val="both"/>
        <w:rPr>
          <w:i/>
          <w:iCs/>
          <w:sz w:val="24"/>
          <w:szCs w:val="24"/>
          <w:u w:val="single"/>
          <w:lang w:val="en-US"/>
        </w:rPr>
      </w:pPr>
      <w:r w:rsidRPr="003275E0">
        <w:rPr>
          <w:i/>
          <w:iCs/>
          <w:sz w:val="24"/>
          <w:szCs w:val="24"/>
          <w:u w:val="single"/>
          <w:lang w:val="en-US"/>
        </w:rPr>
        <w:t xml:space="preserve">Improved reliability of operations and service continuity </w:t>
      </w:r>
    </w:p>
    <w:p w14:paraId="6708AB23" w14:textId="42A7B09D" w:rsidR="00567F12" w:rsidRPr="003275E0" w:rsidRDefault="00567F12" w:rsidP="00CB3CFE">
      <w:pPr>
        <w:spacing w:after="120"/>
        <w:ind w:left="720"/>
        <w:jc w:val="both"/>
        <w:rPr>
          <w:sz w:val="24"/>
          <w:szCs w:val="24"/>
          <w:lang w:val="en-US"/>
        </w:rPr>
      </w:pPr>
      <w:r w:rsidRPr="003275E0">
        <w:rPr>
          <w:sz w:val="24"/>
          <w:szCs w:val="24"/>
          <w:lang w:val="en-US"/>
        </w:rPr>
        <w:t xml:space="preserve">Energy audits help identify inefficiencies that may affect equipment performance, process stability, or service delivery (e.g., interruptions in water/energy supply). Improvements such as better system controls, upgraded lighting, or resilient infrastructure contribute to </w:t>
      </w:r>
      <w:r w:rsidRPr="003275E0">
        <w:rPr>
          <w:sz w:val="24"/>
          <w:szCs w:val="24"/>
          <w:lang w:val="en-US"/>
        </w:rPr>
        <w:lastRenderedPageBreak/>
        <w:t>safer, more reliable, and uninterrupted provision of essential public services, reducing downtime and maintenance costs.</w:t>
      </w:r>
    </w:p>
    <w:p w14:paraId="44F24D2C" w14:textId="77777777" w:rsidR="00573A45" w:rsidRPr="003275E0" w:rsidRDefault="00567F12" w:rsidP="00CB3CFE">
      <w:pPr>
        <w:numPr>
          <w:ilvl w:val="0"/>
          <w:numId w:val="6"/>
        </w:numPr>
        <w:spacing w:after="120"/>
        <w:jc w:val="both"/>
        <w:rPr>
          <w:i/>
          <w:iCs/>
          <w:sz w:val="24"/>
          <w:szCs w:val="24"/>
          <w:u w:val="single"/>
          <w:lang w:val="en-US"/>
        </w:rPr>
      </w:pPr>
      <w:r w:rsidRPr="003275E0">
        <w:rPr>
          <w:i/>
          <w:iCs/>
          <w:sz w:val="24"/>
          <w:szCs w:val="24"/>
          <w:u w:val="single"/>
          <w:lang w:val="en-US"/>
        </w:rPr>
        <w:t xml:space="preserve">Enhanced environmental performance and regulatory alignment </w:t>
      </w:r>
    </w:p>
    <w:p w14:paraId="529A4C15" w14:textId="346FED60" w:rsidR="00567F12" w:rsidRPr="003275E0" w:rsidRDefault="00567F12" w:rsidP="00CB3CFE">
      <w:pPr>
        <w:spacing w:after="120"/>
        <w:ind w:left="720"/>
        <w:jc w:val="both"/>
        <w:rPr>
          <w:sz w:val="24"/>
          <w:szCs w:val="24"/>
          <w:lang w:val="en-US"/>
        </w:rPr>
      </w:pPr>
      <w:r w:rsidRPr="003275E0">
        <w:rPr>
          <w:sz w:val="24"/>
          <w:szCs w:val="24"/>
          <w:lang w:val="en-US"/>
        </w:rPr>
        <w:t>By identifying opportunities to reduce energy consumption and integrate renewable energy solutions (e.g., solar PV systems, heat pumps, or biomass), energy audits support enterprises in lowering greenhouse gas emissions and environmental impact. These actions contribute to national climate and energy objectives and help public enterprises align with evolving environmental regulations, as well as with EU sustainability standards increasingly relevant under Moldova’s integration agenda.</w:t>
      </w:r>
    </w:p>
    <w:p w14:paraId="1A0AA1B2" w14:textId="77777777" w:rsidR="007B3375" w:rsidRPr="003275E0" w:rsidRDefault="00567F12" w:rsidP="00CB3CFE">
      <w:pPr>
        <w:numPr>
          <w:ilvl w:val="0"/>
          <w:numId w:val="6"/>
        </w:numPr>
        <w:spacing w:after="120"/>
        <w:jc w:val="both"/>
        <w:rPr>
          <w:i/>
          <w:iCs/>
          <w:sz w:val="24"/>
          <w:szCs w:val="24"/>
          <w:u w:val="single"/>
          <w:lang w:val="en-US"/>
        </w:rPr>
      </w:pPr>
      <w:proofErr w:type="gramStart"/>
      <w:r w:rsidRPr="003275E0">
        <w:rPr>
          <w:i/>
          <w:iCs/>
          <w:sz w:val="24"/>
          <w:szCs w:val="24"/>
          <w:u w:val="single"/>
          <w:lang w:val="en-US"/>
        </w:rPr>
        <w:t>Strengthened</w:t>
      </w:r>
      <w:proofErr w:type="gramEnd"/>
      <w:r w:rsidRPr="003275E0">
        <w:rPr>
          <w:i/>
          <w:iCs/>
          <w:sz w:val="24"/>
          <w:szCs w:val="24"/>
          <w:u w:val="single"/>
          <w:lang w:val="en-US"/>
        </w:rPr>
        <w:t xml:space="preserve"> strategic position and access to financing </w:t>
      </w:r>
    </w:p>
    <w:p w14:paraId="0465B0D4" w14:textId="025F3897" w:rsidR="00567F12" w:rsidRPr="003275E0" w:rsidRDefault="00567F12" w:rsidP="00CB3CFE">
      <w:pPr>
        <w:spacing w:after="120"/>
        <w:ind w:left="720"/>
        <w:jc w:val="both"/>
        <w:rPr>
          <w:sz w:val="24"/>
          <w:szCs w:val="24"/>
          <w:lang w:val="en-US"/>
        </w:rPr>
      </w:pPr>
      <w:r w:rsidRPr="003275E0">
        <w:rPr>
          <w:sz w:val="24"/>
          <w:szCs w:val="24"/>
          <w:lang w:val="en-US"/>
        </w:rPr>
        <w:t>Enterprises that improve their energy performance benefit from lower operating costs, enhanced credibility, and better positioning for future green financing. Audit results create a justified pipeline of investments, facilitating access to national programs (managed by CNED or other institutions), EU funds, or development partner support, thereby strengthening long-term competitiveness and public accountability.</w:t>
      </w:r>
    </w:p>
    <w:p w14:paraId="7436E86F" w14:textId="77777777" w:rsidR="00CE2E1B" w:rsidRPr="00CE2E1B" w:rsidRDefault="00CE2E1B" w:rsidP="00CB3CFE">
      <w:pPr>
        <w:tabs>
          <w:tab w:val="num" w:pos="720"/>
        </w:tabs>
        <w:spacing w:after="120"/>
        <w:jc w:val="both"/>
        <w:rPr>
          <w:b/>
          <w:bCs/>
          <w:sz w:val="24"/>
          <w:szCs w:val="24"/>
          <w:lang w:val="en-US"/>
        </w:rPr>
      </w:pPr>
      <w:r w:rsidRPr="00CE2E1B">
        <w:rPr>
          <w:b/>
          <w:bCs/>
          <w:sz w:val="24"/>
          <w:szCs w:val="24"/>
          <w:lang w:val="en-US"/>
        </w:rPr>
        <w:t>Conflict of Interest</w:t>
      </w:r>
    </w:p>
    <w:p w14:paraId="797FF085" w14:textId="77777777" w:rsidR="00CE2E1B" w:rsidRPr="00CE2E1B" w:rsidRDefault="00CE2E1B" w:rsidP="00CB3CFE">
      <w:pPr>
        <w:tabs>
          <w:tab w:val="num" w:pos="720"/>
        </w:tabs>
        <w:spacing w:after="120"/>
        <w:jc w:val="both"/>
        <w:rPr>
          <w:sz w:val="24"/>
          <w:szCs w:val="24"/>
          <w:lang w:val="en-US"/>
        </w:rPr>
      </w:pPr>
      <w:r w:rsidRPr="00CE2E1B">
        <w:rPr>
          <w:sz w:val="24"/>
          <w:szCs w:val="24"/>
          <w:lang w:val="en-US"/>
        </w:rPr>
        <w:t>Applicants must ensure that no conflict of interest exists, including:</w:t>
      </w:r>
    </w:p>
    <w:p w14:paraId="3C3B0472" w14:textId="1A1075F9" w:rsidR="00CE2E1B" w:rsidRPr="00CE2E1B" w:rsidRDefault="00CE2E1B" w:rsidP="00CB3CFE">
      <w:pPr>
        <w:pStyle w:val="ListParagraph"/>
        <w:numPr>
          <w:ilvl w:val="0"/>
          <w:numId w:val="28"/>
        </w:numPr>
        <w:tabs>
          <w:tab w:val="num" w:pos="720"/>
        </w:tabs>
        <w:spacing w:after="120"/>
        <w:jc w:val="both"/>
        <w:rPr>
          <w:sz w:val="24"/>
          <w:szCs w:val="24"/>
          <w:lang w:val="en-US"/>
        </w:rPr>
      </w:pPr>
      <w:r w:rsidRPr="00CE2E1B">
        <w:rPr>
          <w:sz w:val="24"/>
          <w:szCs w:val="24"/>
          <w:lang w:val="en-US"/>
        </w:rPr>
        <w:t xml:space="preserve">No direct or indirect affiliation with the selected audit provider that would compromise </w:t>
      </w:r>
      <w:proofErr w:type="gramStart"/>
      <w:r w:rsidRPr="00CE2E1B">
        <w:rPr>
          <w:sz w:val="24"/>
          <w:szCs w:val="24"/>
          <w:lang w:val="en-US"/>
        </w:rPr>
        <w:t>impartiality;</w:t>
      </w:r>
      <w:proofErr w:type="gramEnd"/>
    </w:p>
    <w:p w14:paraId="3F265312" w14:textId="069F0832" w:rsidR="00CE2E1B" w:rsidRPr="00CE2E1B" w:rsidRDefault="00CE2E1B" w:rsidP="00CB3CFE">
      <w:pPr>
        <w:pStyle w:val="ListParagraph"/>
        <w:numPr>
          <w:ilvl w:val="0"/>
          <w:numId w:val="28"/>
        </w:numPr>
        <w:tabs>
          <w:tab w:val="num" w:pos="720"/>
        </w:tabs>
        <w:spacing w:after="120"/>
        <w:jc w:val="both"/>
        <w:rPr>
          <w:sz w:val="24"/>
          <w:szCs w:val="24"/>
          <w:lang w:val="en-US"/>
        </w:rPr>
      </w:pPr>
      <w:r w:rsidRPr="00CE2E1B">
        <w:rPr>
          <w:sz w:val="24"/>
          <w:szCs w:val="24"/>
          <w:lang w:val="en-US"/>
        </w:rPr>
        <w:t xml:space="preserve">No affiliation with UNDP Moldova, CNED staff, or members of the Evaluation </w:t>
      </w:r>
      <w:proofErr w:type="gramStart"/>
      <w:r w:rsidRPr="00CE2E1B">
        <w:rPr>
          <w:sz w:val="24"/>
          <w:szCs w:val="24"/>
          <w:lang w:val="en-US"/>
        </w:rPr>
        <w:t>Committee;</w:t>
      </w:r>
      <w:proofErr w:type="gramEnd"/>
    </w:p>
    <w:p w14:paraId="3C4DA238" w14:textId="0818FDBD" w:rsidR="00CE2E1B" w:rsidRPr="00CE2E1B" w:rsidRDefault="00CE2E1B" w:rsidP="00CB3CFE">
      <w:pPr>
        <w:pStyle w:val="ListParagraph"/>
        <w:numPr>
          <w:ilvl w:val="0"/>
          <w:numId w:val="28"/>
        </w:numPr>
        <w:tabs>
          <w:tab w:val="num" w:pos="720"/>
        </w:tabs>
        <w:spacing w:after="120"/>
        <w:jc w:val="both"/>
        <w:rPr>
          <w:sz w:val="24"/>
          <w:szCs w:val="24"/>
          <w:lang w:val="en-US"/>
        </w:rPr>
      </w:pPr>
      <w:r w:rsidRPr="0408BBFB">
        <w:rPr>
          <w:sz w:val="24"/>
          <w:szCs w:val="24"/>
          <w:lang w:val="en-US"/>
        </w:rPr>
        <w:t xml:space="preserve">No involvement of enterprise representatives in the evaluation or </w:t>
      </w:r>
      <w:r w:rsidR="2BE058C1" w:rsidRPr="0408BBFB">
        <w:rPr>
          <w:sz w:val="24"/>
          <w:szCs w:val="24"/>
          <w:lang w:val="en-US"/>
        </w:rPr>
        <w:t>decision-making</w:t>
      </w:r>
      <w:r w:rsidRPr="0408BBFB">
        <w:rPr>
          <w:sz w:val="24"/>
          <w:szCs w:val="24"/>
          <w:lang w:val="en-US"/>
        </w:rPr>
        <w:t xml:space="preserve"> process.</w:t>
      </w:r>
    </w:p>
    <w:p w14:paraId="09551F88" w14:textId="35207F91" w:rsidR="00CE2E1B" w:rsidRPr="00CE2E1B" w:rsidRDefault="00CE2E1B" w:rsidP="00CB3CFE">
      <w:pPr>
        <w:tabs>
          <w:tab w:val="num" w:pos="720"/>
        </w:tabs>
        <w:spacing w:after="120"/>
        <w:jc w:val="both"/>
        <w:rPr>
          <w:sz w:val="24"/>
          <w:szCs w:val="24"/>
          <w:lang w:val="en-US"/>
        </w:rPr>
      </w:pPr>
      <w:r w:rsidRPr="00CE2E1B">
        <w:rPr>
          <w:sz w:val="24"/>
          <w:szCs w:val="24"/>
          <w:lang w:val="en-US"/>
        </w:rPr>
        <w:t>UNDP reserves the right to reject any application where a conflict of interest is identified</w:t>
      </w:r>
      <w:r w:rsidR="00C83073">
        <w:rPr>
          <w:sz w:val="24"/>
          <w:szCs w:val="24"/>
          <w:lang w:val="en-US"/>
        </w:rPr>
        <w:t>.</w:t>
      </w:r>
    </w:p>
    <w:p w14:paraId="21A74813" w14:textId="77777777" w:rsidR="00CE2E1B" w:rsidRPr="00CE2E1B" w:rsidRDefault="00CE2E1B" w:rsidP="00CB3CFE">
      <w:pPr>
        <w:tabs>
          <w:tab w:val="num" w:pos="720"/>
        </w:tabs>
        <w:spacing w:after="120"/>
        <w:jc w:val="both"/>
        <w:rPr>
          <w:b/>
          <w:bCs/>
          <w:sz w:val="24"/>
          <w:szCs w:val="24"/>
          <w:lang w:val="en-US"/>
        </w:rPr>
      </w:pPr>
      <w:r w:rsidRPr="00CE2E1B">
        <w:rPr>
          <w:b/>
          <w:bCs/>
          <w:sz w:val="24"/>
          <w:szCs w:val="24"/>
          <w:lang w:val="en-US"/>
        </w:rPr>
        <w:t>Data Protection</w:t>
      </w:r>
    </w:p>
    <w:p w14:paraId="2984C610" w14:textId="77777777" w:rsidR="00CE2E1B" w:rsidRPr="00CE2E1B" w:rsidRDefault="00CE2E1B" w:rsidP="00CB3CFE">
      <w:pPr>
        <w:tabs>
          <w:tab w:val="num" w:pos="720"/>
        </w:tabs>
        <w:spacing w:after="120"/>
        <w:jc w:val="both"/>
        <w:rPr>
          <w:sz w:val="24"/>
          <w:szCs w:val="24"/>
          <w:lang w:val="en-US"/>
        </w:rPr>
      </w:pPr>
      <w:r w:rsidRPr="00CE2E1B">
        <w:rPr>
          <w:sz w:val="24"/>
          <w:szCs w:val="24"/>
          <w:lang w:val="en-US"/>
        </w:rPr>
        <w:t>UNDP will process applicant data solely for the purposes of eligibility verification, evaluation, due diligence, and reporting related to this program. Data will not be disclosed to third parties except as required by UNDP policies, project auditing, or applicable law. All information will be stored securely and retained only for the period necessary for compliance and reporting.</w:t>
      </w:r>
    </w:p>
    <w:p w14:paraId="65AF2063" w14:textId="77777777" w:rsidR="00CE2E1B" w:rsidRPr="00CE2E1B" w:rsidRDefault="00CE2E1B" w:rsidP="00CB3CFE">
      <w:pPr>
        <w:tabs>
          <w:tab w:val="num" w:pos="720"/>
        </w:tabs>
        <w:spacing w:after="120"/>
        <w:jc w:val="both"/>
        <w:rPr>
          <w:b/>
          <w:bCs/>
          <w:sz w:val="24"/>
          <w:szCs w:val="24"/>
          <w:lang w:val="en-US"/>
        </w:rPr>
      </w:pPr>
      <w:bookmarkStart w:id="0" w:name="_Int_3KXTxgH9"/>
      <w:proofErr w:type="gramStart"/>
      <w:r w:rsidRPr="0408BBFB">
        <w:rPr>
          <w:b/>
          <w:bCs/>
          <w:sz w:val="24"/>
          <w:szCs w:val="24"/>
          <w:lang w:val="en-US"/>
        </w:rPr>
        <w:t>Non Discrimination</w:t>
      </w:r>
      <w:bookmarkEnd w:id="0"/>
      <w:proofErr w:type="gramEnd"/>
    </w:p>
    <w:p w14:paraId="73365AFB" w14:textId="0A7A683C" w:rsidR="003946D8" w:rsidRDefault="00CE2E1B" w:rsidP="00CB3CFE">
      <w:pPr>
        <w:tabs>
          <w:tab w:val="num" w:pos="720"/>
        </w:tabs>
        <w:spacing w:after="120"/>
        <w:jc w:val="both"/>
        <w:rPr>
          <w:sz w:val="24"/>
          <w:szCs w:val="24"/>
          <w:lang w:val="en-US"/>
        </w:rPr>
      </w:pPr>
      <w:r w:rsidRPr="00CE2E1B">
        <w:rPr>
          <w:sz w:val="24"/>
          <w:szCs w:val="24"/>
          <w:lang w:val="en-US"/>
        </w:rPr>
        <w:t>Participation in this competition is open regardless of gender, ethnicity, political affiliation, or locality, provided all eligibility criteria are met.</w:t>
      </w:r>
    </w:p>
    <w:p w14:paraId="5AE7F482" w14:textId="77777777" w:rsidR="007C6CB5" w:rsidRPr="003275E0" w:rsidRDefault="007C6CB5" w:rsidP="00CB3CFE">
      <w:pPr>
        <w:tabs>
          <w:tab w:val="num" w:pos="720"/>
        </w:tabs>
        <w:spacing w:after="120"/>
        <w:jc w:val="both"/>
        <w:rPr>
          <w:sz w:val="24"/>
          <w:szCs w:val="24"/>
          <w:lang w:val="en-US"/>
        </w:rPr>
      </w:pPr>
    </w:p>
    <w:p w14:paraId="7F2FF124" w14:textId="0DADC19E" w:rsidR="00E26EB8" w:rsidRPr="003275E0" w:rsidRDefault="00E26EB8" w:rsidP="00CB3CFE">
      <w:pPr>
        <w:tabs>
          <w:tab w:val="left" w:pos="540"/>
        </w:tabs>
        <w:spacing w:after="120"/>
        <w:ind w:left="540" w:hanging="540"/>
        <w:jc w:val="center"/>
        <w:rPr>
          <w:b/>
          <w:bCs/>
          <w:sz w:val="24"/>
          <w:szCs w:val="24"/>
          <w:lang w:val="en-US"/>
        </w:rPr>
      </w:pPr>
      <w:r w:rsidRPr="003275E0">
        <w:rPr>
          <w:b/>
          <w:bCs/>
          <w:sz w:val="24"/>
          <w:szCs w:val="24"/>
          <w:lang w:val="en-US"/>
        </w:rPr>
        <w:t>I.</w:t>
      </w:r>
      <w:r w:rsidRPr="003275E0">
        <w:rPr>
          <w:sz w:val="24"/>
          <w:szCs w:val="24"/>
          <w:lang w:val="en-US"/>
        </w:rPr>
        <w:tab/>
      </w:r>
      <w:r w:rsidRPr="003275E0">
        <w:rPr>
          <w:b/>
          <w:bCs/>
          <w:sz w:val="24"/>
          <w:szCs w:val="24"/>
          <w:lang w:val="en-US"/>
        </w:rPr>
        <w:t>ELIGIBILITY CRITERIA</w:t>
      </w:r>
    </w:p>
    <w:p w14:paraId="0E463305" w14:textId="77777777" w:rsidR="00FF764C" w:rsidRPr="003275E0" w:rsidRDefault="00FF764C" w:rsidP="00CB3CFE">
      <w:pPr>
        <w:spacing w:after="120"/>
        <w:rPr>
          <w:rFonts w:eastAsia="Times New Roman" w:cs="Times New Roman"/>
          <w:sz w:val="24"/>
          <w:szCs w:val="24"/>
          <w:lang w:val="en-US"/>
        </w:rPr>
      </w:pPr>
      <w:r w:rsidRPr="003275E0">
        <w:rPr>
          <w:rFonts w:eastAsia="Times New Roman" w:cs="Times New Roman"/>
          <w:b/>
          <w:bCs/>
          <w:sz w:val="24"/>
          <w:szCs w:val="24"/>
          <w:lang w:val="en-US"/>
        </w:rPr>
        <w:t>I.1 General Eligibility Criteria</w:t>
      </w:r>
      <w:r w:rsidRPr="003275E0">
        <w:rPr>
          <w:rFonts w:eastAsia="Times New Roman" w:cs="Times New Roman"/>
          <w:sz w:val="24"/>
          <w:szCs w:val="24"/>
          <w:lang w:val="en-US"/>
        </w:rPr>
        <w:t xml:space="preserve"> </w:t>
      </w:r>
    </w:p>
    <w:p w14:paraId="4839492C" w14:textId="40801F86" w:rsidR="00FF764C" w:rsidRPr="003275E0" w:rsidRDefault="00FF764C" w:rsidP="00CB3CFE">
      <w:pPr>
        <w:spacing w:after="120"/>
        <w:rPr>
          <w:rFonts w:eastAsia="Times New Roman" w:cs="Times New Roman"/>
          <w:sz w:val="24"/>
          <w:szCs w:val="24"/>
          <w:lang w:val="en-US"/>
        </w:rPr>
      </w:pPr>
      <w:r w:rsidRPr="003275E0">
        <w:rPr>
          <w:rFonts w:eastAsia="Times New Roman" w:cs="Times New Roman"/>
          <w:sz w:val="24"/>
          <w:szCs w:val="24"/>
          <w:lang w:val="en-US"/>
        </w:rPr>
        <w:t>The applicant enterprise must:</w:t>
      </w:r>
    </w:p>
    <w:p w14:paraId="6DDA5A59" w14:textId="4C3C53DC" w:rsidR="006C6B8C" w:rsidRPr="003275E0" w:rsidRDefault="006C6B8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 xml:space="preserve">Be a state-owned or municipal </w:t>
      </w:r>
      <w:proofErr w:type="gramStart"/>
      <w:r w:rsidRPr="003275E0">
        <w:rPr>
          <w:rFonts w:eastAsia="Times New Roman" w:cs="Times New Roman"/>
          <w:sz w:val="24"/>
          <w:szCs w:val="24"/>
          <w:lang w:val="en-US"/>
        </w:rPr>
        <w:t>enterprise;</w:t>
      </w:r>
      <w:proofErr w:type="gramEnd"/>
    </w:p>
    <w:p w14:paraId="50C1BDF0" w14:textId="77777777" w:rsidR="006C6B8C" w:rsidRPr="003275E0" w:rsidRDefault="006C6B8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 xml:space="preserve">Be legally registered and operating in the Republic of </w:t>
      </w:r>
      <w:proofErr w:type="gramStart"/>
      <w:r w:rsidRPr="003275E0">
        <w:rPr>
          <w:rFonts w:eastAsia="Times New Roman" w:cs="Times New Roman"/>
          <w:sz w:val="24"/>
          <w:szCs w:val="24"/>
          <w:lang w:val="en-US"/>
        </w:rPr>
        <w:t>Moldova;</w:t>
      </w:r>
      <w:proofErr w:type="gramEnd"/>
    </w:p>
    <w:p w14:paraId="58B90821" w14:textId="64320443" w:rsidR="00FF764C" w:rsidRPr="003275E0" w:rsidRDefault="00FF764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Be included in the official list of large enterprises obligated to conduct mandatory energy audits, as approved by the Order of the Director of the National Centre for Sustainable Energy (CNED) no. 60/AB dated 30 December 2025 (updated list published on the CNED website</w:t>
      </w:r>
      <w:proofErr w:type="gramStart"/>
      <w:r w:rsidRPr="003275E0">
        <w:rPr>
          <w:rFonts w:eastAsia="Times New Roman" w:cs="Times New Roman"/>
          <w:sz w:val="24"/>
          <w:szCs w:val="24"/>
          <w:lang w:val="en-US"/>
        </w:rPr>
        <w:t>);</w:t>
      </w:r>
      <w:proofErr w:type="gramEnd"/>
    </w:p>
    <w:p w14:paraId="6064448F" w14:textId="77777777" w:rsidR="00FF764C" w:rsidRPr="003275E0" w:rsidRDefault="00FF764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 xml:space="preserve">Not be subject to insolvency, liquidation, reorganization, suspension of activity, or similar legal proceedings at the time of </w:t>
      </w:r>
      <w:proofErr w:type="gramStart"/>
      <w:r w:rsidRPr="003275E0">
        <w:rPr>
          <w:rFonts w:eastAsia="Times New Roman" w:cs="Times New Roman"/>
          <w:sz w:val="24"/>
          <w:szCs w:val="24"/>
          <w:lang w:val="en-US"/>
        </w:rPr>
        <w:t>application;</w:t>
      </w:r>
      <w:proofErr w:type="gramEnd"/>
    </w:p>
    <w:p w14:paraId="01A70C34" w14:textId="77777777" w:rsidR="00FF764C" w:rsidRPr="003275E0" w:rsidRDefault="00FF764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lastRenderedPageBreak/>
        <w:t xml:space="preserve">Have no outstanding debts to the national public budget at the time of </w:t>
      </w:r>
      <w:proofErr w:type="gramStart"/>
      <w:r w:rsidRPr="003275E0">
        <w:rPr>
          <w:rFonts w:eastAsia="Times New Roman" w:cs="Times New Roman"/>
          <w:sz w:val="24"/>
          <w:szCs w:val="24"/>
          <w:lang w:val="en-US"/>
        </w:rPr>
        <w:t>application;</w:t>
      </w:r>
      <w:proofErr w:type="gramEnd"/>
    </w:p>
    <w:p w14:paraId="24878792" w14:textId="7E2C2AEB" w:rsidR="00FF764C" w:rsidRPr="003275E0" w:rsidRDefault="00FF764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 xml:space="preserve">Not </w:t>
      </w:r>
      <w:proofErr w:type="gramStart"/>
      <w:r w:rsidRPr="003275E0">
        <w:rPr>
          <w:rFonts w:eastAsia="Times New Roman" w:cs="Times New Roman"/>
          <w:sz w:val="24"/>
          <w:szCs w:val="24"/>
          <w:lang w:val="en-US"/>
        </w:rPr>
        <w:t>have</w:t>
      </w:r>
      <w:proofErr w:type="gramEnd"/>
      <w:r w:rsidRPr="003275E0">
        <w:rPr>
          <w:rFonts w:eastAsia="Times New Roman" w:cs="Times New Roman"/>
          <w:sz w:val="24"/>
          <w:szCs w:val="24"/>
          <w:lang w:val="en-US"/>
        </w:rPr>
        <w:t xml:space="preserve"> been sanctioned for corruption, fraud, misuse of public funds, or similar </w:t>
      </w:r>
      <w:proofErr w:type="gramStart"/>
      <w:r w:rsidRPr="003275E0">
        <w:rPr>
          <w:rFonts w:eastAsia="Times New Roman" w:cs="Times New Roman"/>
          <w:sz w:val="24"/>
          <w:szCs w:val="24"/>
          <w:lang w:val="en-US"/>
        </w:rPr>
        <w:t>offenses;</w:t>
      </w:r>
      <w:proofErr w:type="gramEnd"/>
    </w:p>
    <w:p w14:paraId="7E68A970" w14:textId="77777777" w:rsidR="00FF764C" w:rsidRPr="003275E0" w:rsidRDefault="00FF764C" w:rsidP="00CB3CFE">
      <w:pPr>
        <w:numPr>
          <w:ilvl w:val="0"/>
          <w:numId w:val="7"/>
        </w:numPr>
        <w:tabs>
          <w:tab w:val="clear" w:pos="720"/>
          <w:tab w:val="num" w:pos="36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Not have benefited from other public or donor-funded support specifically for the same mandatory energy audit activity (as per CNED notification requirements).</w:t>
      </w:r>
    </w:p>
    <w:p w14:paraId="6C2F6706" w14:textId="59CAAD72" w:rsidR="000571C6" w:rsidRPr="003275E0" w:rsidRDefault="00FF764C" w:rsidP="00CB3CFE">
      <w:pPr>
        <w:tabs>
          <w:tab w:val="left" w:pos="1365"/>
        </w:tabs>
        <w:spacing w:after="120"/>
        <w:jc w:val="both"/>
        <w:rPr>
          <w:rFonts w:eastAsia="Times New Roman" w:cs="Times New Roman"/>
          <w:sz w:val="24"/>
          <w:szCs w:val="24"/>
          <w:lang w:val="en-US"/>
        </w:rPr>
      </w:pPr>
      <w:r w:rsidRPr="003275E0">
        <w:rPr>
          <w:rFonts w:eastAsia="Times New Roman" w:cs="Times New Roman"/>
          <w:b/>
          <w:bCs/>
          <w:sz w:val="24"/>
          <w:szCs w:val="24"/>
          <w:lang w:val="en-US"/>
        </w:rPr>
        <w:t>I.2 Specific Eligibility Criteria</w:t>
      </w:r>
      <w:r w:rsidRPr="003275E0">
        <w:rPr>
          <w:rFonts w:eastAsia="Times New Roman" w:cs="Times New Roman"/>
          <w:sz w:val="24"/>
          <w:szCs w:val="24"/>
          <w:lang w:val="en-US"/>
        </w:rPr>
        <w:t xml:space="preserve"> </w:t>
      </w:r>
    </w:p>
    <w:p w14:paraId="10393B7E" w14:textId="5296545D" w:rsidR="00FF764C" w:rsidRPr="003275E0" w:rsidRDefault="00FF764C" w:rsidP="00CB3CFE">
      <w:pPr>
        <w:spacing w:after="120"/>
        <w:rPr>
          <w:rFonts w:eastAsia="Times New Roman" w:cs="Times New Roman"/>
          <w:sz w:val="24"/>
          <w:szCs w:val="24"/>
          <w:lang w:val="en-US"/>
        </w:rPr>
      </w:pPr>
      <w:r w:rsidRPr="003275E0">
        <w:rPr>
          <w:rFonts w:eastAsia="Times New Roman" w:cs="Times New Roman"/>
          <w:sz w:val="24"/>
          <w:szCs w:val="24"/>
          <w:lang w:val="en-US"/>
        </w:rPr>
        <w:t>The applicant enterprise must:</w:t>
      </w:r>
    </w:p>
    <w:p w14:paraId="7EAC0E23" w14:textId="77777777" w:rsidR="00FF764C" w:rsidRPr="003275E0" w:rsidRDefault="00FF764C" w:rsidP="00CB3CFE">
      <w:pPr>
        <w:pStyle w:val="ListParagraph"/>
        <w:numPr>
          <w:ilvl w:val="0"/>
          <w:numId w:val="8"/>
        </w:numPr>
        <w:spacing w:after="120"/>
        <w:ind w:left="360"/>
        <w:contextualSpacing w:val="0"/>
        <w:jc w:val="both"/>
        <w:rPr>
          <w:rFonts w:eastAsia="Times New Roman" w:cs="Times New Roman"/>
          <w:sz w:val="24"/>
          <w:szCs w:val="24"/>
          <w:lang w:val="en-US"/>
        </w:rPr>
      </w:pPr>
      <w:r w:rsidRPr="003275E0">
        <w:rPr>
          <w:rFonts w:eastAsia="Times New Roman" w:cs="Times New Roman"/>
          <w:sz w:val="24"/>
          <w:szCs w:val="24"/>
          <w:lang w:val="en-US"/>
        </w:rPr>
        <w:t>Have not conducted an energy audit in the last four years, in accordance with the requirements of Law No. 139/2018 on Energy Efficiency (as amended) and the Regulation on Conducting Energy Audits by Large Enterprises (approved by Government Decision No. 829/2024, with subsequent amendments</w:t>
      </w:r>
      <w:proofErr w:type="gramStart"/>
      <w:r w:rsidRPr="003275E0">
        <w:rPr>
          <w:rFonts w:eastAsia="Times New Roman" w:cs="Times New Roman"/>
          <w:sz w:val="24"/>
          <w:szCs w:val="24"/>
          <w:lang w:val="en-US"/>
        </w:rPr>
        <w:t>);</w:t>
      </w:r>
      <w:proofErr w:type="gramEnd"/>
    </w:p>
    <w:p w14:paraId="29A74BDA" w14:textId="77777777" w:rsidR="00FF764C" w:rsidRPr="003275E0" w:rsidRDefault="00FF764C" w:rsidP="00CB3CFE">
      <w:pPr>
        <w:pStyle w:val="ListParagraph"/>
        <w:numPr>
          <w:ilvl w:val="0"/>
          <w:numId w:val="8"/>
        </w:numPr>
        <w:spacing w:after="120"/>
        <w:ind w:left="360"/>
        <w:contextualSpacing w:val="0"/>
        <w:jc w:val="both"/>
        <w:rPr>
          <w:rFonts w:eastAsia="Times New Roman" w:cs="Times New Roman"/>
          <w:sz w:val="24"/>
          <w:szCs w:val="24"/>
          <w:lang w:val="en-US"/>
        </w:rPr>
      </w:pPr>
      <w:r w:rsidRPr="003275E0">
        <w:rPr>
          <w:rFonts w:eastAsia="Times New Roman" w:cs="Times New Roman"/>
          <w:sz w:val="24"/>
          <w:szCs w:val="24"/>
          <w:lang w:val="en-US"/>
        </w:rPr>
        <w:t>Have not implemented an energy management system compliant with ISO 50001 and/or an environmental management system compliant with ISO 14001 (or equivalent certified systems</w:t>
      </w:r>
      <w:proofErr w:type="gramStart"/>
      <w:r w:rsidRPr="003275E0">
        <w:rPr>
          <w:rFonts w:eastAsia="Times New Roman" w:cs="Times New Roman"/>
          <w:sz w:val="24"/>
          <w:szCs w:val="24"/>
          <w:lang w:val="en-US"/>
        </w:rPr>
        <w:t>);</w:t>
      </w:r>
      <w:proofErr w:type="gramEnd"/>
    </w:p>
    <w:p w14:paraId="1215BCD8" w14:textId="6275B661" w:rsidR="00FF764C" w:rsidRPr="003275E0" w:rsidRDefault="00FF764C" w:rsidP="00CB3CFE">
      <w:pPr>
        <w:pStyle w:val="ListParagraph"/>
        <w:numPr>
          <w:ilvl w:val="0"/>
          <w:numId w:val="8"/>
        </w:numPr>
        <w:spacing w:after="120"/>
        <w:ind w:left="360"/>
        <w:contextualSpacing w:val="0"/>
        <w:jc w:val="both"/>
        <w:rPr>
          <w:rFonts w:eastAsia="Times New Roman" w:cs="Times New Roman"/>
          <w:sz w:val="24"/>
          <w:szCs w:val="24"/>
          <w:lang w:val="en-US"/>
        </w:rPr>
      </w:pPr>
      <w:r w:rsidRPr="003275E0">
        <w:rPr>
          <w:rFonts w:eastAsia="Times New Roman" w:cs="Times New Roman"/>
          <w:sz w:val="24"/>
          <w:szCs w:val="24"/>
          <w:lang w:val="en-US"/>
        </w:rPr>
        <w:t>Have concluded (or be in the advanced process of concluding) a contract with a qualified energy audit service provider employing accredited energy auditors registered in the Electronic Register of Energy Auditors managed by CNED, in line with Government Decision No. 676/2020 on Energy Auditors and Energy Auditing</w:t>
      </w:r>
      <w:r w:rsidR="00A30173">
        <w:rPr>
          <w:rFonts w:eastAsia="Times New Roman" w:cs="Times New Roman"/>
          <w:sz w:val="24"/>
          <w:szCs w:val="24"/>
          <w:lang w:val="en-US"/>
        </w:rPr>
        <w:t xml:space="preserve">. </w:t>
      </w:r>
      <w:proofErr w:type="gramStart"/>
      <w:r w:rsidR="00A30173" w:rsidRPr="00A30173">
        <w:rPr>
          <w:rFonts w:eastAsia="Times New Roman" w:cs="Times New Roman"/>
          <w:sz w:val="24"/>
          <w:szCs w:val="24"/>
          <w:lang w:val="en-US"/>
        </w:rPr>
        <w:t>For the purpose of</w:t>
      </w:r>
      <w:proofErr w:type="gramEnd"/>
      <w:r w:rsidR="00A30173" w:rsidRPr="00A30173">
        <w:rPr>
          <w:rFonts w:eastAsia="Times New Roman" w:cs="Times New Roman"/>
          <w:sz w:val="24"/>
          <w:szCs w:val="24"/>
          <w:lang w:val="en-US"/>
        </w:rPr>
        <w:t xml:space="preserve"> eligibility, enterprises may submit either a signed contract, a draft contract, or documented proof that contractual negotiations with a qualified energy audit provider are in an advanced stage. This ensures compliance with UNDP rules that beneficiary competitions must not impose procurement like </w:t>
      </w:r>
      <w:proofErr w:type="gramStart"/>
      <w:r w:rsidR="00A30173" w:rsidRPr="00A30173">
        <w:rPr>
          <w:rFonts w:eastAsia="Times New Roman" w:cs="Times New Roman"/>
          <w:sz w:val="24"/>
          <w:szCs w:val="24"/>
          <w:lang w:val="en-US"/>
        </w:rPr>
        <w:t>restrictions</w:t>
      </w:r>
      <w:r w:rsidRPr="003275E0">
        <w:rPr>
          <w:rFonts w:eastAsia="Times New Roman" w:cs="Times New Roman"/>
          <w:sz w:val="24"/>
          <w:szCs w:val="24"/>
          <w:lang w:val="en-US"/>
        </w:rPr>
        <w:t>;</w:t>
      </w:r>
      <w:proofErr w:type="gramEnd"/>
    </w:p>
    <w:p w14:paraId="66FA6B5B" w14:textId="7A22DBDB" w:rsidR="00FF764C" w:rsidRPr="003275E0" w:rsidRDefault="00FF764C" w:rsidP="00CB3CFE">
      <w:pPr>
        <w:pStyle w:val="ListParagraph"/>
        <w:numPr>
          <w:ilvl w:val="0"/>
          <w:numId w:val="8"/>
        </w:numPr>
        <w:spacing w:after="120"/>
        <w:ind w:left="360"/>
        <w:contextualSpacing w:val="0"/>
        <w:jc w:val="both"/>
        <w:rPr>
          <w:rFonts w:eastAsia="Times New Roman" w:cs="Times New Roman"/>
          <w:sz w:val="24"/>
          <w:szCs w:val="24"/>
          <w:lang w:val="en-US"/>
        </w:rPr>
      </w:pPr>
      <w:r w:rsidRPr="003275E0">
        <w:rPr>
          <w:rFonts w:eastAsia="Times New Roman" w:cs="Times New Roman"/>
          <w:sz w:val="24"/>
          <w:szCs w:val="24"/>
          <w:lang w:val="en-US"/>
        </w:rPr>
        <w:t>;</w:t>
      </w:r>
    </w:p>
    <w:p w14:paraId="748E044F" w14:textId="5EFD89B3" w:rsidR="00FF764C" w:rsidRPr="003275E0" w:rsidRDefault="00FF764C" w:rsidP="00CB3CFE">
      <w:pPr>
        <w:pStyle w:val="ListParagraph"/>
        <w:numPr>
          <w:ilvl w:val="0"/>
          <w:numId w:val="8"/>
        </w:numPr>
        <w:spacing w:after="120"/>
        <w:ind w:left="360"/>
        <w:contextualSpacing w:val="0"/>
        <w:jc w:val="both"/>
        <w:rPr>
          <w:rFonts w:eastAsia="Times New Roman" w:cs="Times New Roman"/>
          <w:sz w:val="24"/>
          <w:szCs w:val="24"/>
          <w:lang w:val="en-US"/>
        </w:rPr>
      </w:pPr>
      <w:r w:rsidRPr="003275E0">
        <w:rPr>
          <w:rFonts w:eastAsia="Times New Roman" w:cs="Times New Roman"/>
          <w:sz w:val="24"/>
          <w:szCs w:val="24"/>
          <w:lang w:val="en-US"/>
        </w:rPr>
        <w:t>Commit to active participation in the energy audit process, including:</w:t>
      </w:r>
    </w:p>
    <w:p w14:paraId="074835A0" w14:textId="77777777" w:rsidR="00FF764C" w:rsidRPr="003275E0" w:rsidRDefault="00FF764C" w:rsidP="00CB3CFE">
      <w:pPr>
        <w:numPr>
          <w:ilvl w:val="1"/>
          <w:numId w:val="9"/>
        </w:numPr>
        <w:spacing w:after="120"/>
        <w:ind w:left="720"/>
        <w:jc w:val="both"/>
        <w:rPr>
          <w:rFonts w:eastAsia="Times New Roman" w:cs="Times New Roman"/>
          <w:sz w:val="24"/>
          <w:szCs w:val="24"/>
          <w:lang w:val="en-US"/>
        </w:rPr>
      </w:pPr>
      <w:r w:rsidRPr="003275E0">
        <w:rPr>
          <w:rFonts w:eastAsia="Times New Roman" w:cs="Times New Roman"/>
          <w:sz w:val="24"/>
          <w:szCs w:val="24"/>
          <w:lang w:val="en-US"/>
        </w:rPr>
        <w:t xml:space="preserve">Providing full access to premises, equipment, installations, and relevant technical and financial </w:t>
      </w:r>
      <w:proofErr w:type="gramStart"/>
      <w:r w:rsidRPr="003275E0">
        <w:rPr>
          <w:rFonts w:eastAsia="Times New Roman" w:cs="Times New Roman"/>
          <w:sz w:val="24"/>
          <w:szCs w:val="24"/>
          <w:lang w:val="en-US"/>
        </w:rPr>
        <w:t>data;</w:t>
      </w:r>
      <w:proofErr w:type="gramEnd"/>
    </w:p>
    <w:p w14:paraId="783DF664" w14:textId="77777777" w:rsidR="00FF764C" w:rsidRPr="003275E0" w:rsidRDefault="00FF764C" w:rsidP="00CB3CFE">
      <w:pPr>
        <w:numPr>
          <w:ilvl w:val="1"/>
          <w:numId w:val="9"/>
        </w:numPr>
        <w:spacing w:after="120"/>
        <w:ind w:left="720"/>
        <w:jc w:val="both"/>
        <w:rPr>
          <w:rFonts w:eastAsia="Times New Roman" w:cs="Times New Roman"/>
          <w:sz w:val="24"/>
          <w:szCs w:val="24"/>
          <w:lang w:val="en-US"/>
        </w:rPr>
      </w:pPr>
      <w:r w:rsidRPr="003275E0">
        <w:rPr>
          <w:rFonts w:eastAsia="Times New Roman" w:cs="Times New Roman"/>
          <w:sz w:val="24"/>
          <w:szCs w:val="24"/>
          <w:lang w:val="en-US"/>
        </w:rPr>
        <w:t xml:space="preserve">Designating a responsible focal point or contact person for communication with the audit team and </w:t>
      </w:r>
      <w:proofErr w:type="gramStart"/>
      <w:r w:rsidRPr="003275E0">
        <w:rPr>
          <w:rFonts w:eastAsia="Times New Roman" w:cs="Times New Roman"/>
          <w:sz w:val="24"/>
          <w:szCs w:val="24"/>
          <w:lang w:val="en-US"/>
        </w:rPr>
        <w:t>UNDP;</w:t>
      </w:r>
      <w:proofErr w:type="gramEnd"/>
    </w:p>
    <w:p w14:paraId="7C224E2A" w14:textId="3F988533" w:rsidR="00FF764C" w:rsidRPr="003275E0" w:rsidRDefault="00FF764C" w:rsidP="00CB3CFE">
      <w:pPr>
        <w:numPr>
          <w:ilvl w:val="1"/>
          <w:numId w:val="9"/>
        </w:numPr>
        <w:spacing w:after="120"/>
        <w:ind w:left="720"/>
        <w:jc w:val="both"/>
        <w:rPr>
          <w:rFonts w:eastAsia="Times New Roman" w:cs="Times New Roman"/>
          <w:sz w:val="24"/>
          <w:szCs w:val="24"/>
          <w:lang w:val="en-US"/>
        </w:rPr>
      </w:pPr>
      <w:r w:rsidRPr="0408BBFB">
        <w:rPr>
          <w:rFonts w:eastAsia="Times New Roman" w:cs="Times New Roman"/>
          <w:sz w:val="24"/>
          <w:szCs w:val="24"/>
          <w:lang w:val="en-US"/>
        </w:rPr>
        <w:t xml:space="preserve">Submitting the completed and validated audit report to CNED for official verification and validation (prerequisite for </w:t>
      </w:r>
      <w:r w:rsidR="4D407D46" w:rsidRPr="0408BBFB">
        <w:rPr>
          <w:rFonts w:eastAsia="Times New Roman" w:cs="Times New Roman"/>
          <w:sz w:val="24"/>
          <w:szCs w:val="24"/>
          <w:lang w:val="en-US"/>
        </w:rPr>
        <w:t xml:space="preserve">the </w:t>
      </w:r>
      <w:r w:rsidRPr="0408BBFB">
        <w:rPr>
          <w:rFonts w:eastAsia="Times New Roman" w:cs="Times New Roman"/>
          <w:sz w:val="24"/>
          <w:szCs w:val="24"/>
          <w:lang w:val="en-US"/>
        </w:rPr>
        <w:t xml:space="preserve">UNDP </w:t>
      </w:r>
      <w:r w:rsidR="007D59ED" w:rsidRPr="007D59ED">
        <w:rPr>
          <w:rFonts w:eastAsia="Times New Roman" w:cs="Times New Roman"/>
          <w:sz w:val="24"/>
          <w:szCs w:val="24"/>
          <w:lang w:val="en-US"/>
        </w:rPr>
        <w:t>performance-based payment</w:t>
      </w:r>
      <w:r w:rsidRPr="0408BBFB">
        <w:rPr>
          <w:rFonts w:eastAsia="Times New Roman" w:cs="Times New Roman"/>
          <w:sz w:val="24"/>
          <w:szCs w:val="24"/>
          <w:lang w:val="en-US"/>
        </w:rPr>
        <w:t>).</w:t>
      </w:r>
    </w:p>
    <w:p w14:paraId="4B1D9A91" w14:textId="77777777" w:rsidR="00FF764C" w:rsidRPr="003275E0" w:rsidRDefault="00FF764C" w:rsidP="00CB3CFE">
      <w:pPr>
        <w:spacing w:after="120"/>
        <w:rPr>
          <w:rFonts w:eastAsia="Times New Roman" w:cs="Times New Roman"/>
          <w:sz w:val="24"/>
          <w:szCs w:val="24"/>
          <w:lang w:val="en-US"/>
        </w:rPr>
      </w:pPr>
      <w:r w:rsidRPr="003275E0">
        <w:rPr>
          <w:rFonts w:eastAsia="Times New Roman" w:cs="Times New Roman"/>
          <w:b/>
          <w:bCs/>
          <w:sz w:val="24"/>
          <w:szCs w:val="24"/>
          <w:lang w:val="en-US"/>
        </w:rPr>
        <w:t>I.3 Eligibility Related to Legal Obligation and Audit Framework</w:t>
      </w:r>
      <w:r w:rsidRPr="003275E0">
        <w:rPr>
          <w:rFonts w:eastAsia="Times New Roman" w:cs="Times New Roman"/>
          <w:sz w:val="24"/>
          <w:szCs w:val="24"/>
          <w:lang w:val="en-US"/>
        </w:rPr>
        <w:t xml:space="preserve"> The applicant must:</w:t>
      </w:r>
    </w:p>
    <w:p w14:paraId="49BF8983" w14:textId="77777777" w:rsidR="00FF764C" w:rsidRPr="003275E0" w:rsidRDefault="00FF764C" w:rsidP="00CB3CFE">
      <w:pPr>
        <w:numPr>
          <w:ilvl w:val="0"/>
          <w:numId w:val="10"/>
        </w:numPr>
        <w:spacing w:after="120"/>
        <w:ind w:left="360"/>
        <w:jc w:val="both"/>
        <w:rPr>
          <w:rFonts w:eastAsia="Times New Roman" w:cs="Times New Roman"/>
          <w:sz w:val="24"/>
          <w:szCs w:val="24"/>
          <w:lang w:val="en-US"/>
        </w:rPr>
      </w:pPr>
      <w:r w:rsidRPr="003275E0">
        <w:rPr>
          <w:rFonts w:eastAsia="Times New Roman" w:cs="Times New Roman"/>
          <w:sz w:val="24"/>
          <w:szCs w:val="24"/>
          <w:lang w:val="en-US"/>
        </w:rPr>
        <w:t>Acknowledge receipt of the official CNED notification regarding the mandatory energy audit obligation (pursuant to Article 19 of Law No. 139/2018 and the CNED Order no. 60/AB of 30 December 2025</w:t>
      </w:r>
      <w:proofErr w:type="gramStart"/>
      <w:r w:rsidRPr="003275E0">
        <w:rPr>
          <w:rFonts w:eastAsia="Times New Roman" w:cs="Times New Roman"/>
          <w:sz w:val="24"/>
          <w:szCs w:val="24"/>
          <w:lang w:val="en-US"/>
        </w:rPr>
        <w:t>);</w:t>
      </w:r>
      <w:proofErr w:type="gramEnd"/>
    </w:p>
    <w:p w14:paraId="540B4273" w14:textId="77777777" w:rsidR="00FF764C" w:rsidRPr="003275E0" w:rsidRDefault="00FF764C" w:rsidP="00CB3CFE">
      <w:pPr>
        <w:numPr>
          <w:ilvl w:val="0"/>
          <w:numId w:val="10"/>
        </w:numPr>
        <w:spacing w:after="120"/>
        <w:ind w:left="360"/>
        <w:jc w:val="both"/>
        <w:rPr>
          <w:rFonts w:eastAsia="Times New Roman" w:cs="Times New Roman"/>
          <w:sz w:val="24"/>
          <w:szCs w:val="24"/>
          <w:lang w:val="en-US"/>
        </w:rPr>
      </w:pPr>
      <w:r w:rsidRPr="003275E0">
        <w:rPr>
          <w:rFonts w:eastAsia="Times New Roman" w:cs="Times New Roman"/>
          <w:sz w:val="24"/>
          <w:szCs w:val="24"/>
          <w:lang w:val="en-US"/>
        </w:rPr>
        <w:t>Commit to conducting the energy audit in full compliance with:</w:t>
      </w:r>
    </w:p>
    <w:p w14:paraId="4F012A24" w14:textId="77777777" w:rsidR="00FF764C" w:rsidRPr="003275E0" w:rsidRDefault="00FF764C" w:rsidP="00CB3CFE">
      <w:pPr>
        <w:numPr>
          <w:ilvl w:val="1"/>
          <w:numId w:val="11"/>
        </w:numPr>
        <w:spacing w:after="120"/>
        <w:ind w:left="720"/>
        <w:jc w:val="both"/>
        <w:rPr>
          <w:rFonts w:eastAsia="Times New Roman" w:cs="Times New Roman"/>
          <w:sz w:val="24"/>
          <w:szCs w:val="24"/>
          <w:lang w:val="en-US"/>
        </w:rPr>
      </w:pPr>
      <w:r w:rsidRPr="003275E0">
        <w:rPr>
          <w:rFonts w:eastAsia="Times New Roman" w:cs="Times New Roman"/>
          <w:sz w:val="24"/>
          <w:szCs w:val="24"/>
          <w:lang w:val="en-US"/>
        </w:rPr>
        <w:t>Law No. 139/2018 on Energy Efficiency (as amended</w:t>
      </w:r>
      <w:proofErr w:type="gramStart"/>
      <w:r w:rsidRPr="003275E0">
        <w:rPr>
          <w:rFonts w:eastAsia="Times New Roman" w:cs="Times New Roman"/>
          <w:sz w:val="24"/>
          <w:szCs w:val="24"/>
          <w:lang w:val="en-US"/>
        </w:rPr>
        <w:t>);</w:t>
      </w:r>
      <w:proofErr w:type="gramEnd"/>
    </w:p>
    <w:p w14:paraId="7ABA8449" w14:textId="77777777" w:rsidR="00FF764C" w:rsidRPr="003275E0" w:rsidRDefault="00FF764C" w:rsidP="00CB3CFE">
      <w:pPr>
        <w:numPr>
          <w:ilvl w:val="1"/>
          <w:numId w:val="11"/>
        </w:numPr>
        <w:spacing w:after="120"/>
        <w:ind w:left="720"/>
        <w:jc w:val="both"/>
        <w:rPr>
          <w:rFonts w:eastAsia="Times New Roman" w:cs="Times New Roman"/>
          <w:sz w:val="24"/>
          <w:szCs w:val="24"/>
          <w:lang w:val="en-US"/>
        </w:rPr>
      </w:pPr>
      <w:r w:rsidRPr="003275E0">
        <w:rPr>
          <w:rFonts w:eastAsia="Times New Roman" w:cs="Times New Roman"/>
          <w:sz w:val="24"/>
          <w:szCs w:val="24"/>
          <w:lang w:val="en-US"/>
        </w:rPr>
        <w:t xml:space="preserve">Government Decision No. 676/2020 on Energy Auditors and Energy </w:t>
      </w:r>
      <w:proofErr w:type="gramStart"/>
      <w:r w:rsidRPr="003275E0">
        <w:rPr>
          <w:rFonts w:eastAsia="Times New Roman" w:cs="Times New Roman"/>
          <w:sz w:val="24"/>
          <w:szCs w:val="24"/>
          <w:lang w:val="en-US"/>
        </w:rPr>
        <w:t>Auditing;</w:t>
      </w:r>
      <w:proofErr w:type="gramEnd"/>
    </w:p>
    <w:p w14:paraId="6071E339" w14:textId="77777777" w:rsidR="00FF764C" w:rsidRPr="003275E0" w:rsidRDefault="00FF764C" w:rsidP="00CB3CFE">
      <w:pPr>
        <w:numPr>
          <w:ilvl w:val="1"/>
          <w:numId w:val="11"/>
        </w:numPr>
        <w:spacing w:after="120"/>
        <w:ind w:left="720"/>
        <w:jc w:val="both"/>
        <w:rPr>
          <w:rFonts w:eastAsia="Times New Roman" w:cs="Times New Roman"/>
          <w:sz w:val="24"/>
          <w:szCs w:val="24"/>
          <w:lang w:val="en-US"/>
        </w:rPr>
      </w:pPr>
      <w:r w:rsidRPr="003275E0">
        <w:rPr>
          <w:rFonts w:eastAsia="Times New Roman" w:cs="Times New Roman"/>
          <w:sz w:val="24"/>
          <w:szCs w:val="24"/>
          <w:lang w:val="en-US"/>
        </w:rPr>
        <w:t>Government Decision No. 829/2024 approving the Regulation on Conducting Energy Audits by Large Enterprises (with any subsequent amendments</w:t>
      </w:r>
      <w:proofErr w:type="gramStart"/>
      <w:r w:rsidRPr="003275E0">
        <w:rPr>
          <w:rFonts w:eastAsia="Times New Roman" w:cs="Times New Roman"/>
          <w:sz w:val="24"/>
          <w:szCs w:val="24"/>
          <w:lang w:val="en-US"/>
        </w:rPr>
        <w:t>);</w:t>
      </w:r>
      <w:proofErr w:type="gramEnd"/>
    </w:p>
    <w:p w14:paraId="0C26E18B" w14:textId="77777777" w:rsidR="00FF764C" w:rsidRPr="003275E0" w:rsidRDefault="00FF764C" w:rsidP="00CB3CFE">
      <w:pPr>
        <w:numPr>
          <w:ilvl w:val="1"/>
          <w:numId w:val="11"/>
        </w:numPr>
        <w:spacing w:after="120"/>
        <w:ind w:left="720"/>
        <w:jc w:val="both"/>
        <w:rPr>
          <w:rFonts w:eastAsia="Times New Roman" w:cs="Times New Roman"/>
          <w:sz w:val="24"/>
          <w:szCs w:val="24"/>
          <w:lang w:val="en-US"/>
        </w:rPr>
      </w:pPr>
      <w:r w:rsidRPr="003275E0">
        <w:rPr>
          <w:rFonts w:eastAsia="Times New Roman" w:cs="Times New Roman"/>
          <w:sz w:val="24"/>
          <w:szCs w:val="24"/>
          <w:lang w:val="en-US"/>
        </w:rPr>
        <w:t>Relevant CNED methodological guidelines and standards (e.g., SM EN 16247 series for energy audits).</w:t>
      </w:r>
    </w:p>
    <w:p w14:paraId="4AA7512F" w14:textId="77777777" w:rsidR="00FF764C" w:rsidRPr="003275E0" w:rsidRDefault="00FF764C" w:rsidP="00CB3CFE">
      <w:pPr>
        <w:numPr>
          <w:ilvl w:val="0"/>
          <w:numId w:val="10"/>
        </w:numPr>
        <w:spacing w:after="120"/>
        <w:ind w:left="360"/>
        <w:jc w:val="both"/>
        <w:rPr>
          <w:rFonts w:eastAsia="Times New Roman" w:cs="Times New Roman"/>
          <w:sz w:val="24"/>
          <w:szCs w:val="24"/>
          <w:lang w:val="en-US"/>
        </w:rPr>
      </w:pPr>
      <w:r w:rsidRPr="003275E0">
        <w:rPr>
          <w:rFonts w:eastAsia="Times New Roman" w:cs="Times New Roman"/>
          <w:sz w:val="24"/>
          <w:szCs w:val="24"/>
          <w:lang w:val="en-US"/>
        </w:rPr>
        <w:t xml:space="preserve">Ensure that the audit covers at minimum: assessment of current energy consumption, identification of inefficiencies, quantification of energy-saving potential, and prioritized </w:t>
      </w:r>
      <w:r w:rsidRPr="003275E0">
        <w:rPr>
          <w:rFonts w:eastAsia="Times New Roman" w:cs="Times New Roman"/>
          <w:sz w:val="24"/>
          <w:szCs w:val="24"/>
          <w:lang w:val="en-US"/>
        </w:rPr>
        <w:lastRenderedPageBreak/>
        <w:t>recommendations for efficiency measures and renewable energy integration (where applicable).</w:t>
      </w:r>
    </w:p>
    <w:p w14:paraId="6C6BC023" w14:textId="77777777" w:rsidR="004B3F52" w:rsidRPr="003275E0" w:rsidRDefault="00FF764C" w:rsidP="00CB3CFE">
      <w:pPr>
        <w:spacing w:after="120"/>
        <w:rPr>
          <w:rFonts w:eastAsia="Times New Roman" w:cs="Times New Roman"/>
          <w:sz w:val="24"/>
          <w:szCs w:val="24"/>
          <w:lang w:val="en-US"/>
        </w:rPr>
      </w:pPr>
      <w:r w:rsidRPr="003275E0">
        <w:rPr>
          <w:rFonts w:eastAsia="Times New Roman" w:cs="Times New Roman"/>
          <w:b/>
          <w:bCs/>
          <w:sz w:val="24"/>
          <w:szCs w:val="24"/>
          <w:lang w:val="en-US"/>
        </w:rPr>
        <w:t>I.4 Commitment to Post-Audit Actions (Non-financial)</w:t>
      </w:r>
      <w:r w:rsidRPr="003275E0">
        <w:rPr>
          <w:rFonts w:eastAsia="Times New Roman" w:cs="Times New Roman"/>
          <w:sz w:val="24"/>
          <w:szCs w:val="24"/>
          <w:lang w:val="en-US"/>
        </w:rPr>
        <w:t xml:space="preserve"> </w:t>
      </w:r>
    </w:p>
    <w:p w14:paraId="0FE2610D" w14:textId="0A72A425" w:rsidR="00FF764C" w:rsidRPr="003275E0" w:rsidRDefault="00FF764C" w:rsidP="00CB3CFE">
      <w:p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Although the program provides </w:t>
      </w:r>
      <w:r w:rsidR="000A747A">
        <w:rPr>
          <w:rFonts w:eastAsia="Times New Roman" w:cs="Times New Roman"/>
          <w:sz w:val="24"/>
          <w:szCs w:val="24"/>
          <w:lang w:val="en-US"/>
        </w:rPr>
        <w:t xml:space="preserve">performance-based </w:t>
      </w:r>
      <w:r w:rsidR="00E35F04">
        <w:rPr>
          <w:rFonts w:eastAsia="Times New Roman" w:cs="Times New Roman"/>
          <w:sz w:val="24"/>
          <w:szCs w:val="24"/>
          <w:lang w:val="en-US"/>
        </w:rPr>
        <w:t>support</w:t>
      </w:r>
      <w:r w:rsidR="00E35F04" w:rsidRPr="003275E0">
        <w:rPr>
          <w:rFonts w:eastAsia="Times New Roman" w:cs="Times New Roman"/>
          <w:sz w:val="24"/>
          <w:szCs w:val="24"/>
          <w:lang w:val="en-US"/>
        </w:rPr>
        <w:t xml:space="preserve"> </w:t>
      </w:r>
      <w:r w:rsidRPr="003275E0">
        <w:rPr>
          <w:rFonts w:eastAsia="Times New Roman" w:cs="Times New Roman"/>
          <w:sz w:val="24"/>
          <w:szCs w:val="24"/>
          <w:lang w:val="en-US"/>
        </w:rPr>
        <w:t xml:space="preserve">for </w:t>
      </w:r>
      <w:r w:rsidR="009650D7">
        <w:rPr>
          <w:rFonts w:eastAsia="Times New Roman" w:cs="Times New Roman"/>
          <w:sz w:val="24"/>
          <w:szCs w:val="24"/>
          <w:lang w:val="en-US"/>
        </w:rPr>
        <w:t xml:space="preserve">eligible </w:t>
      </w:r>
      <w:r w:rsidRPr="003275E0">
        <w:rPr>
          <w:rFonts w:eastAsia="Times New Roman" w:cs="Times New Roman"/>
          <w:sz w:val="24"/>
          <w:szCs w:val="24"/>
          <w:lang w:val="en-US"/>
        </w:rPr>
        <w:t>audit costs (up to USD 10,000 per validated report</w:t>
      </w:r>
      <w:r w:rsidR="007752CF">
        <w:rPr>
          <w:rFonts w:eastAsia="Times New Roman" w:cs="Times New Roman"/>
          <w:sz w:val="24"/>
          <w:szCs w:val="24"/>
          <w:lang w:val="en-US"/>
        </w:rPr>
        <w:t xml:space="preserve">, </w:t>
      </w:r>
      <w:r w:rsidR="007752CF" w:rsidRPr="00514A1A">
        <w:rPr>
          <w:rFonts w:eastAsia="Times New Roman" w:cs="Times New Roman"/>
          <w:sz w:val="24"/>
          <w:szCs w:val="24"/>
          <w:lang w:val="en-US"/>
        </w:rPr>
        <w:t>and not exceeding 50% of the total audit contract cost</w:t>
      </w:r>
      <w:r w:rsidRPr="003275E0">
        <w:rPr>
          <w:rFonts w:eastAsia="Times New Roman" w:cs="Times New Roman"/>
          <w:sz w:val="24"/>
          <w:szCs w:val="24"/>
          <w:lang w:val="en-US"/>
        </w:rPr>
        <w:t>)</w:t>
      </w:r>
      <w:r w:rsidR="007752CF">
        <w:rPr>
          <w:rFonts w:eastAsia="Times New Roman" w:cs="Times New Roman"/>
          <w:sz w:val="24"/>
          <w:szCs w:val="24"/>
          <w:lang w:val="en-US"/>
        </w:rPr>
        <w:t xml:space="preserve">, </w:t>
      </w:r>
      <w:r w:rsidRPr="003275E0">
        <w:rPr>
          <w:rFonts w:eastAsia="Times New Roman" w:cs="Times New Roman"/>
          <w:sz w:val="24"/>
          <w:szCs w:val="24"/>
          <w:lang w:val="en-US"/>
        </w:rPr>
        <w:t>and no direct funding for implementation investments, applicant enterprises must:</w:t>
      </w:r>
    </w:p>
    <w:p w14:paraId="7AB1F58D" w14:textId="77777777" w:rsidR="00FF764C" w:rsidRPr="003275E0" w:rsidRDefault="00FF764C" w:rsidP="00CB3CFE">
      <w:pPr>
        <w:numPr>
          <w:ilvl w:val="0"/>
          <w:numId w:val="12"/>
        </w:numPr>
        <w:tabs>
          <w:tab w:val="clear" w:pos="72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 xml:space="preserve">Demonstrate a formal decision or documented intention (e.g., management/board resolution) to implement priority energy efficiency recommendations identified in the audit </w:t>
      </w:r>
      <w:proofErr w:type="gramStart"/>
      <w:r w:rsidRPr="003275E0">
        <w:rPr>
          <w:rFonts w:eastAsia="Times New Roman" w:cs="Times New Roman"/>
          <w:sz w:val="24"/>
          <w:szCs w:val="24"/>
          <w:lang w:val="en-US"/>
        </w:rPr>
        <w:t>report;</w:t>
      </w:r>
      <w:proofErr w:type="gramEnd"/>
    </w:p>
    <w:p w14:paraId="18262D84" w14:textId="65472F12" w:rsidR="00FF764C" w:rsidRPr="003275E0" w:rsidRDefault="00653357" w:rsidP="00CB3CFE">
      <w:pPr>
        <w:pStyle w:val="ListParagraph"/>
        <w:numPr>
          <w:ilvl w:val="0"/>
          <w:numId w:val="12"/>
        </w:numPr>
        <w:tabs>
          <w:tab w:val="clear" w:pos="720"/>
          <w:tab w:val="num" w:pos="360"/>
        </w:tabs>
        <w:spacing w:after="120"/>
        <w:ind w:left="360"/>
        <w:jc w:val="both"/>
        <w:rPr>
          <w:rFonts w:eastAsia="Times New Roman" w:cs="Times New Roman"/>
          <w:sz w:val="24"/>
          <w:szCs w:val="24"/>
          <w:lang w:val="en-US"/>
        </w:rPr>
      </w:pPr>
      <w:r w:rsidRPr="003275E0">
        <w:rPr>
          <w:sz w:val="24"/>
          <w:szCs w:val="24"/>
          <w:lang w:val="en-US"/>
        </w:rPr>
        <w:t xml:space="preserve">Demonstrates that they have initiated the adoption of </w:t>
      </w:r>
      <w:proofErr w:type="gramStart"/>
      <w:r w:rsidRPr="003275E0">
        <w:rPr>
          <w:sz w:val="24"/>
          <w:szCs w:val="24"/>
          <w:lang w:val="en-US"/>
        </w:rPr>
        <w:t>the energy</w:t>
      </w:r>
      <w:proofErr w:type="gramEnd"/>
      <w:r w:rsidRPr="003275E0">
        <w:rPr>
          <w:sz w:val="24"/>
          <w:szCs w:val="24"/>
          <w:lang w:val="en-US"/>
        </w:rPr>
        <w:t xml:space="preserve"> efficiency-related ISO standards (such as ISO 50001) </w:t>
      </w:r>
      <w:r w:rsidR="00FF764C" w:rsidRPr="003275E0">
        <w:rPr>
          <w:rFonts w:eastAsia="Times New Roman" w:cs="Times New Roman"/>
          <w:sz w:val="24"/>
          <w:szCs w:val="24"/>
          <w:lang w:val="en-US"/>
        </w:rPr>
        <w:t xml:space="preserve">and/or related standards, if not already in place, in order to qualify for additional targeted technical support of up to USD 4,000 per </w:t>
      </w:r>
      <w:proofErr w:type="gramStart"/>
      <w:r w:rsidR="00FF764C" w:rsidRPr="003275E0">
        <w:rPr>
          <w:rFonts w:eastAsia="Times New Roman" w:cs="Times New Roman"/>
          <w:sz w:val="24"/>
          <w:szCs w:val="24"/>
          <w:lang w:val="en-US"/>
        </w:rPr>
        <w:t>enterprise;</w:t>
      </w:r>
      <w:proofErr w:type="gramEnd"/>
    </w:p>
    <w:p w14:paraId="0BACEE35" w14:textId="77777777" w:rsidR="00FF764C" w:rsidRPr="003275E0" w:rsidRDefault="00FF764C" w:rsidP="00CB3CFE">
      <w:pPr>
        <w:numPr>
          <w:ilvl w:val="0"/>
          <w:numId w:val="12"/>
        </w:numPr>
        <w:tabs>
          <w:tab w:val="clear" w:pos="72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Demonstrate institutional and managerial capacity to consider future investments in energy efficiency and/or renewable energy measures based on audit recommendations (e.g., through integration into annual budgets, strategic plans, or applications to national/international financing programs</w:t>
      </w:r>
      <w:proofErr w:type="gramStart"/>
      <w:r w:rsidRPr="003275E0">
        <w:rPr>
          <w:rFonts w:eastAsia="Times New Roman" w:cs="Times New Roman"/>
          <w:sz w:val="24"/>
          <w:szCs w:val="24"/>
          <w:lang w:val="en-US"/>
        </w:rPr>
        <w:t>);</w:t>
      </w:r>
      <w:proofErr w:type="gramEnd"/>
    </w:p>
    <w:p w14:paraId="043B2526" w14:textId="77777777" w:rsidR="00FF764C" w:rsidRPr="003275E0" w:rsidRDefault="00FF764C" w:rsidP="00CB3CFE">
      <w:pPr>
        <w:numPr>
          <w:ilvl w:val="0"/>
          <w:numId w:val="12"/>
        </w:numPr>
        <w:tabs>
          <w:tab w:val="clear" w:pos="720"/>
        </w:tabs>
        <w:spacing w:after="120"/>
        <w:ind w:left="360"/>
        <w:jc w:val="both"/>
        <w:rPr>
          <w:rFonts w:eastAsia="Times New Roman" w:cs="Times New Roman"/>
          <w:sz w:val="24"/>
          <w:szCs w:val="24"/>
          <w:lang w:val="en-US"/>
        </w:rPr>
      </w:pPr>
      <w:r w:rsidRPr="003275E0">
        <w:rPr>
          <w:rFonts w:eastAsia="Times New Roman" w:cs="Times New Roman"/>
          <w:sz w:val="24"/>
          <w:szCs w:val="24"/>
          <w:lang w:val="en-US"/>
        </w:rPr>
        <w:t>Agree to use the audit results for internal planning, decision-making, reporting to CNED, performance monitoring, and potential access to future financing or support programs (including those managed by CNED, Ministry of Energy, or development partners).</w:t>
      </w:r>
    </w:p>
    <w:p w14:paraId="449A1FDA" w14:textId="12CE28C1" w:rsidR="000E0764" w:rsidRPr="003275E0" w:rsidRDefault="000E0764" w:rsidP="00CB3CFE">
      <w:pPr>
        <w:spacing w:after="120"/>
        <w:jc w:val="center"/>
        <w:rPr>
          <w:rFonts w:eastAsia="Times New Roman" w:cs="Times New Roman"/>
          <w:sz w:val="24"/>
          <w:szCs w:val="24"/>
          <w:lang w:val="en-US"/>
        </w:rPr>
      </w:pPr>
      <w:r w:rsidRPr="003275E0">
        <w:rPr>
          <w:rFonts w:eastAsia="Times New Roman" w:cs="Times New Roman"/>
          <w:b/>
          <w:bCs/>
          <w:sz w:val="24"/>
          <w:szCs w:val="24"/>
          <w:lang w:val="en-US"/>
        </w:rPr>
        <w:t>II. COMPETITION PROCEDURE</w:t>
      </w:r>
    </w:p>
    <w:p w14:paraId="67C4BB25" w14:textId="77777777" w:rsidR="000E0764" w:rsidRPr="003275E0" w:rsidRDefault="000E0764" w:rsidP="00CB3CFE">
      <w:pPr>
        <w:spacing w:after="120"/>
        <w:rPr>
          <w:rFonts w:eastAsia="Times New Roman" w:cs="Times New Roman"/>
          <w:sz w:val="24"/>
          <w:szCs w:val="24"/>
          <w:lang w:val="en-US"/>
        </w:rPr>
      </w:pPr>
      <w:r w:rsidRPr="003275E0">
        <w:rPr>
          <w:rFonts w:eastAsia="Times New Roman" w:cs="Times New Roman"/>
          <w:sz w:val="24"/>
          <w:szCs w:val="24"/>
          <w:lang w:val="en-US"/>
        </w:rPr>
        <w:t>This competition will be conducted in a single phase, with two evaluation stages, carried out in accordance with the following conditions:</w:t>
      </w:r>
    </w:p>
    <w:tbl>
      <w:tblPr>
        <w:tblStyle w:val="TableGrid"/>
        <w:tblW w:w="0" w:type="auto"/>
        <w:tblLook w:val="04A0" w:firstRow="1" w:lastRow="0" w:firstColumn="1" w:lastColumn="0" w:noHBand="0" w:noVBand="1"/>
      </w:tblPr>
      <w:tblGrid>
        <w:gridCol w:w="1615"/>
        <w:gridCol w:w="5400"/>
        <w:gridCol w:w="2335"/>
      </w:tblGrid>
      <w:tr w:rsidR="001167D5" w:rsidRPr="003275E0" w14:paraId="56670D0D" w14:textId="77777777" w:rsidTr="001167D5">
        <w:tc>
          <w:tcPr>
            <w:tcW w:w="1615" w:type="dxa"/>
            <w:shd w:val="clear" w:color="auto" w:fill="D9D9D9" w:themeFill="background1" w:themeFillShade="D9"/>
            <w:vAlign w:val="center"/>
          </w:tcPr>
          <w:p w14:paraId="022807AF" w14:textId="2C733965" w:rsidR="001167D5" w:rsidRPr="003275E0" w:rsidRDefault="001167D5" w:rsidP="00CB3CFE">
            <w:pPr>
              <w:spacing w:after="120"/>
              <w:jc w:val="center"/>
              <w:rPr>
                <w:rFonts w:eastAsia="Times New Roman" w:cs="Times New Roman"/>
                <w:sz w:val="24"/>
                <w:szCs w:val="24"/>
                <w:lang w:val="en-US"/>
              </w:rPr>
            </w:pPr>
            <w:r w:rsidRPr="003275E0">
              <w:rPr>
                <w:rFonts w:eastAsia="Times New Roman" w:cs="Times New Roman"/>
                <w:b/>
                <w:bCs/>
                <w:sz w:val="20"/>
                <w:szCs w:val="20"/>
                <w:lang w:val="en-US"/>
              </w:rPr>
              <w:t>Stage</w:t>
            </w:r>
          </w:p>
        </w:tc>
        <w:tc>
          <w:tcPr>
            <w:tcW w:w="5400" w:type="dxa"/>
            <w:shd w:val="clear" w:color="auto" w:fill="D9D9D9" w:themeFill="background1" w:themeFillShade="D9"/>
            <w:vAlign w:val="center"/>
          </w:tcPr>
          <w:p w14:paraId="54BB76B3" w14:textId="5B6DB1D4" w:rsidR="001167D5" w:rsidRPr="003275E0" w:rsidRDefault="001167D5" w:rsidP="00CB3CFE">
            <w:pPr>
              <w:spacing w:after="120"/>
              <w:jc w:val="center"/>
              <w:rPr>
                <w:rFonts w:eastAsia="Times New Roman" w:cs="Times New Roman"/>
                <w:sz w:val="24"/>
                <w:szCs w:val="24"/>
                <w:lang w:val="en-US"/>
              </w:rPr>
            </w:pPr>
            <w:r w:rsidRPr="003275E0">
              <w:rPr>
                <w:rFonts w:eastAsia="Times New Roman" w:cs="Times New Roman"/>
                <w:b/>
                <w:bCs/>
                <w:sz w:val="20"/>
                <w:szCs w:val="20"/>
                <w:lang w:val="en-US"/>
              </w:rPr>
              <w:t>Description</w:t>
            </w:r>
          </w:p>
        </w:tc>
        <w:tc>
          <w:tcPr>
            <w:tcW w:w="2335" w:type="dxa"/>
            <w:shd w:val="clear" w:color="auto" w:fill="D9D9D9" w:themeFill="background1" w:themeFillShade="D9"/>
            <w:vAlign w:val="center"/>
          </w:tcPr>
          <w:p w14:paraId="36C59EBA" w14:textId="1A4BFF90" w:rsidR="001167D5" w:rsidRPr="003275E0" w:rsidRDefault="001167D5" w:rsidP="00CB3CFE">
            <w:pPr>
              <w:spacing w:after="120"/>
              <w:jc w:val="center"/>
              <w:rPr>
                <w:rFonts w:eastAsia="Times New Roman" w:cs="Times New Roman"/>
                <w:sz w:val="24"/>
                <w:szCs w:val="24"/>
                <w:lang w:val="en-US"/>
              </w:rPr>
            </w:pPr>
            <w:r w:rsidRPr="003275E0">
              <w:rPr>
                <w:rFonts w:eastAsia="Times New Roman" w:cs="Times New Roman"/>
                <w:b/>
                <w:bCs/>
                <w:sz w:val="20"/>
                <w:szCs w:val="20"/>
                <w:lang w:val="en-US"/>
              </w:rPr>
              <w:t>Outcome</w:t>
            </w:r>
          </w:p>
        </w:tc>
      </w:tr>
      <w:tr w:rsidR="001167D5" w:rsidRPr="003275E0" w14:paraId="49DA1504" w14:textId="77777777">
        <w:tc>
          <w:tcPr>
            <w:tcW w:w="1615" w:type="dxa"/>
            <w:vAlign w:val="center"/>
          </w:tcPr>
          <w:p w14:paraId="4A6C9080" w14:textId="6126CF94"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Administrative evaluation</w:t>
            </w:r>
          </w:p>
        </w:tc>
        <w:tc>
          <w:tcPr>
            <w:tcW w:w="5400" w:type="dxa"/>
            <w:vAlign w:val="center"/>
          </w:tcPr>
          <w:p w14:paraId="41F0641A" w14:textId="28F63895"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Verification of eligibility (including inclusion in the CNED list), completeness of the application file, and compliance with program and legal requirements</w:t>
            </w:r>
          </w:p>
        </w:tc>
        <w:tc>
          <w:tcPr>
            <w:tcW w:w="2335" w:type="dxa"/>
            <w:vAlign w:val="center"/>
          </w:tcPr>
          <w:p w14:paraId="3E3D1EF9" w14:textId="08E5817A"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Pass / Fail</w:t>
            </w:r>
          </w:p>
        </w:tc>
      </w:tr>
      <w:tr w:rsidR="001167D5" w:rsidRPr="003275E0" w14:paraId="18FF30FF" w14:textId="77777777">
        <w:tc>
          <w:tcPr>
            <w:tcW w:w="1615" w:type="dxa"/>
            <w:vAlign w:val="center"/>
          </w:tcPr>
          <w:p w14:paraId="4E651D22" w14:textId="4EACEA43"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Technical evaluation</w:t>
            </w:r>
          </w:p>
        </w:tc>
        <w:tc>
          <w:tcPr>
            <w:tcW w:w="5400" w:type="dxa"/>
            <w:vAlign w:val="center"/>
          </w:tcPr>
          <w:p w14:paraId="181B83A9" w14:textId="5AA3FB02"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Assessment of strategic relevance, energy consumption profile, potential impact of the audit, readiness for implementation of recommendations, and alignment with national energy efficiency objectives</w:t>
            </w:r>
          </w:p>
        </w:tc>
        <w:tc>
          <w:tcPr>
            <w:tcW w:w="2335" w:type="dxa"/>
            <w:vAlign w:val="center"/>
          </w:tcPr>
          <w:p w14:paraId="7296A9DB" w14:textId="5FE1606E"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Scored (maximum 100 points)</w:t>
            </w:r>
          </w:p>
        </w:tc>
      </w:tr>
      <w:tr w:rsidR="001167D5" w:rsidRPr="003275E0" w14:paraId="41D051E4" w14:textId="77777777">
        <w:tc>
          <w:tcPr>
            <w:tcW w:w="1615" w:type="dxa"/>
            <w:vAlign w:val="center"/>
          </w:tcPr>
          <w:p w14:paraId="1107529F" w14:textId="0EC8D9BE"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Final selection</w:t>
            </w:r>
          </w:p>
        </w:tc>
        <w:tc>
          <w:tcPr>
            <w:tcW w:w="5400" w:type="dxa"/>
            <w:vAlign w:val="center"/>
          </w:tcPr>
          <w:p w14:paraId="60F96923" w14:textId="4A560ACA"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Ranking of eligible applications based on technical scores</w:t>
            </w:r>
          </w:p>
        </w:tc>
        <w:tc>
          <w:tcPr>
            <w:tcW w:w="2335" w:type="dxa"/>
            <w:vAlign w:val="center"/>
          </w:tcPr>
          <w:p w14:paraId="5B435993" w14:textId="61E8CD22" w:rsidR="001167D5" w:rsidRPr="003275E0" w:rsidRDefault="001167D5" w:rsidP="00CB3CFE">
            <w:pPr>
              <w:spacing w:after="120"/>
              <w:rPr>
                <w:rFonts w:eastAsia="Times New Roman" w:cs="Times New Roman"/>
                <w:sz w:val="24"/>
                <w:szCs w:val="24"/>
                <w:lang w:val="en-US"/>
              </w:rPr>
            </w:pPr>
            <w:r w:rsidRPr="003275E0">
              <w:rPr>
                <w:rFonts w:eastAsia="Times New Roman" w:cs="Times New Roman"/>
                <w:sz w:val="20"/>
                <w:szCs w:val="20"/>
                <w:lang w:val="en-US"/>
              </w:rPr>
              <w:t>Top 5 enterprises selected</w:t>
            </w:r>
          </w:p>
        </w:tc>
      </w:tr>
    </w:tbl>
    <w:p w14:paraId="2CC99F14" w14:textId="230B03E5" w:rsidR="000E0764" w:rsidRPr="00514A1A" w:rsidRDefault="000E0764" w:rsidP="00CB3CFE">
      <w:pPr>
        <w:spacing w:after="120"/>
        <w:jc w:val="both"/>
        <w:rPr>
          <w:lang w:val="en-US"/>
        </w:rPr>
      </w:pPr>
      <w:r w:rsidRPr="003275E0">
        <w:rPr>
          <w:rFonts w:eastAsia="Times New Roman" w:cs="Times New Roman"/>
          <w:sz w:val="24"/>
          <w:szCs w:val="24"/>
          <w:lang w:val="en-US"/>
        </w:rPr>
        <w:t xml:space="preserve">Only applications that pass the administrative evaluation will proceed </w:t>
      </w:r>
      <w:proofErr w:type="gramStart"/>
      <w:r w:rsidRPr="003275E0">
        <w:rPr>
          <w:rFonts w:eastAsia="Times New Roman" w:cs="Times New Roman"/>
          <w:sz w:val="24"/>
          <w:szCs w:val="24"/>
          <w:lang w:val="en-US"/>
        </w:rPr>
        <w:t>to</w:t>
      </w:r>
      <w:proofErr w:type="gramEnd"/>
      <w:r w:rsidRPr="003275E0">
        <w:rPr>
          <w:rFonts w:eastAsia="Times New Roman" w:cs="Times New Roman"/>
          <w:sz w:val="24"/>
          <w:szCs w:val="24"/>
          <w:lang w:val="en-US"/>
        </w:rPr>
        <w:t xml:space="preserve"> technical evaluation. The final selection will be made in descending order of technical scores until five (5) large state-owned or municipal enterprises are selected. </w:t>
      </w:r>
    </w:p>
    <w:p w14:paraId="3FBB3933" w14:textId="0DEBE158" w:rsidR="000E0764" w:rsidRPr="003275E0" w:rsidRDefault="000E0764" w:rsidP="00CB3CFE">
      <w:pPr>
        <w:spacing w:after="120"/>
        <w:jc w:val="both"/>
        <w:rPr>
          <w:rFonts w:eastAsia="Times New Roman" w:cs="Times New Roman"/>
          <w:sz w:val="24"/>
          <w:szCs w:val="24"/>
          <w:lang w:val="en-US"/>
        </w:rPr>
      </w:pPr>
      <w:r w:rsidRPr="00367064">
        <w:rPr>
          <w:rFonts w:eastAsia="Times New Roman" w:cs="Times New Roman"/>
          <w:sz w:val="24"/>
          <w:szCs w:val="24"/>
          <w:lang w:val="en-US"/>
        </w:rPr>
        <w:t>In case of equal scores, priority may be given to enterprises providing essential public services (e.g., water supply, energy, transport, food production) or those with higher demonstrated energy consumption impact.</w:t>
      </w:r>
    </w:p>
    <w:p w14:paraId="0C8E3E02" w14:textId="77777777" w:rsidR="000E0764" w:rsidRPr="003275E0" w:rsidRDefault="000E0764" w:rsidP="00CB3CFE">
      <w:pPr>
        <w:spacing w:after="120"/>
        <w:jc w:val="both"/>
        <w:rPr>
          <w:rFonts w:eastAsia="Times New Roman" w:cs="Times New Roman"/>
          <w:sz w:val="24"/>
          <w:szCs w:val="24"/>
          <w:lang w:val="en-US"/>
        </w:rPr>
      </w:pPr>
      <w:r w:rsidRPr="003275E0">
        <w:rPr>
          <w:rFonts w:eastAsia="Times New Roman" w:cs="Times New Roman"/>
          <w:sz w:val="24"/>
          <w:szCs w:val="24"/>
          <w:lang w:val="en-US"/>
        </w:rPr>
        <w:t>To participate in the competition, applicant enterprises shall submit a complete application file in electronic format to the indicated email address by the deadline specified in the Expression of Interest.</w:t>
      </w:r>
    </w:p>
    <w:p w14:paraId="47ED9C75" w14:textId="77777777" w:rsidR="000E0764" w:rsidRPr="003275E0" w:rsidRDefault="000E0764" w:rsidP="00CB3CFE">
      <w:pPr>
        <w:spacing w:after="120"/>
        <w:rPr>
          <w:rFonts w:eastAsia="Times New Roman" w:cs="Times New Roman"/>
          <w:sz w:val="24"/>
          <w:szCs w:val="24"/>
          <w:lang w:val="en-US"/>
        </w:rPr>
      </w:pPr>
      <w:r w:rsidRPr="003275E0">
        <w:rPr>
          <w:rFonts w:eastAsia="Times New Roman" w:cs="Times New Roman"/>
          <w:sz w:val="24"/>
          <w:szCs w:val="24"/>
          <w:lang w:val="en-US"/>
        </w:rPr>
        <w:t>The application file shall include the following documents:</w:t>
      </w:r>
    </w:p>
    <w:p w14:paraId="3810B8FD" w14:textId="0656B0E6" w:rsidR="00574053"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t>a.</w:t>
      </w:r>
      <w:r w:rsidR="005F4758" w:rsidRPr="003275E0">
        <w:rPr>
          <w:rFonts w:eastAsia="Times New Roman" w:cs="Times New Roman"/>
          <w:sz w:val="24"/>
          <w:szCs w:val="24"/>
          <w:lang w:val="en-US"/>
        </w:rPr>
        <w:tab/>
      </w:r>
      <w:r w:rsidRPr="003275E0">
        <w:rPr>
          <w:rFonts w:eastAsia="Times New Roman" w:cs="Times New Roman"/>
          <w:sz w:val="24"/>
          <w:szCs w:val="24"/>
          <w:lang w:val="en-US"/>
        </w:rPr>
        <w:t>Cover Letter / Letter of Intent (</w:t>
      </w:r>
      <w:r w:rsidRPr="003275E0">
        <w:rPr>
          <w:rFonts w:eastAsia="Times New Roman" w:cs="Times New Roman"/>
          <w:b/>
          <w:bCs/>
          <w:sz w:val="24"/>
          <w:szCs w:val="24"/>
          <w:lang w:val="en-US"/>
        </w:rPr>
        <w:t>Annex 1</w:t>
      </w:r>
      <w:r w:rsidRPr="003275E0">
        <w:rPr>
          <w:rFonts w:eastAsia="Times New Roman" w:cs="Times New Roman"/>
          <w:sz w:val="24"/>
          <w:szCs w:val="24"/>
          <w:lang w:val="en-US"/>
        </w:rPr>
        <w:t>), signed by the legal representative (e.g., Director General or authorized person</w:t>
      </w:r>
      <w:proofErr w:type="gramStart"/>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28B33B60" w14:textId="04B8F193" w:rsidR="00574053"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t>b. Completed Application Form (</w:t>
      </w:r>
      <w:r w:rsidRPr="003275E0">
        <w:rPr>
          <w:rFonts w:eastAsia="Times New Roman" w:cs="Times New Roman"/>
          <w:b/>
          <w:bCs/>
          <w:sz w:val="24"/>
          <w:szCs w:val="24"/>
          <w:lang w:val="en-US"/>
        </w:rPr>
        <w:t>Annex 2</w:t>
      </w:r>
      <w:r w:rsidRPr="003275E0">
        <w:rPr>
          <w:rFonts w:eastAsia="Times New Roman" w:cs="Times New Roman"/>
          <w:sz w:val="24"/>
          <w:szCs w:val="24"/>
          <w:lang w:val="en-US"/>
        </w:rPr>
        <w:t>), duly filled in and signed</w:t>
      </w:r>
      <w:r w:rsidR="005521F0">
        <w:rPr>
          <w:rFonts w:eastAsia="Times New Roman" w:cs="Times New Roman"/>
          <w:sz w:val="24"/>
          <w:szCs w:val="24"/>
          <w:lang w:val="en-US"/>
        </w:rPr>
        <w:t xml:space="preserve"> </w:t>
      </w:r>
      <w:r w:rsidR="005521F0" w:rsidRPr="003275E0">
        <w:rPr>
          <w:rFonts w:eastAsia="Times New Roman" w:cs="Times New Roman"/>
          <w:sz w:val="24"/>
          <w:szCs w:val="24"/>
          <w:lang w:val="en-US"/>
        </w:rPr>
        <w:t>by the legal representative (e.g., Director General or authorized person</w:t>
      </w:r>
      <w:proofErr w:type="gramStart"/>
      <w:r w:rsidR="005521F0" w:rsidRPr="003275E0">
        <w:rPr>
          <w:rFonts w:eastAsia="Times New Roman" w:cs="Times New Roman"/>
          <w:sz w:val="24"/>
          <w:szCs w:val="24"/>
          <w:lang w:val="en-US"/>
        </w:rPr>
        <w:t>)</w:t>
      </w:r>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4DFE8A6D" w14:textId="48085741" w:rsidR="005F4758"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lastRenderedPageBreak/>
        <w:t>c</w:t>
      </w:r>
      <w:proofErr w:type="gramStart"/>
      <w:r w:rsidRPr="003275E0">
        <w:rPr>
          <w:rFonts w:eastAsia="Times New Roman" w:cs="Times New Roman"/>
          <w:sz w:val="24"/>
          <w:szCs w:val="24"/>
          <w:lang w:val="en-US"/>
        </w:rPr>
        <w:t xml:space="preserve">. </w:t>
      </w:r>
      <w:r w:rsidR="005F4758" w:rsidRPr="003275E0">
        <w:rPr>
          <w:rFonts w:eastAsia="Times New Roman" w:cs="Times New Roman"/>
          <w:sz w:val="24"/>
          <w:szCs w:val="24"/>
          <w:lang w:val="en-US"/>
        </w:rPr>
        <w:tab/>
      </w:r>
      <w:r w:rsidRPr="003275E0">
        <w:rPr>
          <w:rFonts w:eastAsia="Times New Roman" w:cs="Times New Roman"/>
          <w:sz w:val="24"/>
          <w:szCs w:val="24"/>
          <w:lang w:val="en-US"/>
        </w:rPr>
        <w:t>Copy</w:t>
      </w:r>
      <w:proofErr w:type="gramEnd"/>
      <w:r w:rsidRPr="003275E0">
        <w:rPr>
          <w:rFonts w:eastAsia="Times New Roman" w:cs="Times New Roman"/>
          <w:sz w:val="24"/>
          <w:szCs w:val="24"/>
          <w:lang w:val="en-US"/>
        </w:rPr>
        <w:t xml:space="preserve"> of the official CNED notification / extract from the List of large enterprises obligated to conduct energy audits, approved by Order of the Director of CNED no. 60/AB dated 30 December 2025 (or the most recent updated list published on the CNED website</w:t>
      </w:r>
      <w:proofErr w:type="gramStart"/>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6AAFCD5D" w14:textId="03084437" w:rsidR="005F4758"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t>d</w:t>
      </w:r>
      <w:proofErr w:type="gramStart"/>
      <w:r w:rsidRPr="003275E0">
        <w:rPr>
          <w:rFonts w:eastAsia="Times New Roman" w:cs="Times New Roman"/>
          <w:sz w:val="24"/>
          <w:szCs w:val="24"/>
          <w:lang w:val="en-US"/>
        </w:rPr>
        <w:t xml:space="preserve">. </w:t>
      </w:r>
      <w:r w:rsidR="005F4758" w:rsidRPr="003275E0">
        <w:rPr>
          <w:rFonts w:eastAsia="Times New Roman" w:cs="Times New Roman"/>
          <w:sz w:val="24"/>
          <w:szCs w:val="24"/>
          <w:lang w:val="en-US"/>
        </w:rPr>
        <w:tab/>
      </w:r>
      <w:r w:rsidRPr="003275E0">
        <w:rPr>
          <w:rFonts w:eastAsia="Times New Roman" w:cs="Times New Roman"/>
          <w:sz w:val="24"/>
          <w:szCs w:val="24"/>
          <w:lang w:val="en-US"/>
        </w:rPr>
        <w:t>Proof</w:t>
      </w:r>
      <w:proofErr w:type="gramEnd"/>
      <w:r w:rsidRPr="003275E0">
        <w:rPr>
          <w:rFonts w:eastAsia="Times New Roman" w:cs="Times New Roman"/>
          <w:sz w:val="24"/>
          <w:szCs w:val="24"/>
          <w:lang w:val="en-US"/>
        </w:rPr>
        <w:t xml:space="preserve"> of state or municipal ownership / founding status (e.g., extract from the State Register of Legal Entities confirming public ownership, or relevant founding act / decision</w:t>
      </w:r>
      <w:proofErr w:type="gramStart"/>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715E4B8A" w14:textId="6F2D9F29" w:rsidR="005F4758"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t>e</w:t>
      </w:r>
      <w:proofErr w:type="gramStart"/>
      <w:r w:rsidRPr="003275E0">
        <w:rPr>
          <w:rFonts w:eastAsia="Times New Roman" w:cs="Times New Roman"/>
          <w:sz w:val="24"/>
          <w:szCs w:val="24"/>
          <w:lang w:val="en-US"/>
        </w:rPr>
        <w:t xml:space="preserve">. </w:t>
      </w:r>
      <w:r w:rsidR="005F4758" w:rsidRPr="003275E0">
        <w:rPr>
          <w:rFonts w:eastAsia="Times New Roman" w:cs="Times New Roman"/>
          <w:sz w:val="24"/>
          <w:szCs w:val="24"/>
          <w:lang w:val="en-US"/>
        </w:rPr>
        <w:tab/>
      </w:r>
      <w:r w:rsidRPr="003275E0">
        <w:rPr>
          <w:rFonts w:eastAsia="Times New Roman" w:cs="Times New Roman"/>
          <w:sz w:val="24"/>
          <w:szCs w:val="24"/>
          <w:lang w:val="en-US"/>
        </w:rPr>
        <w:t>Copy</w:t>
      </w:r>
      <w:proofErr w:type="gramEnd"/>
      <w:r w:rsidRPr="003275E0">
        <w:rPr>
          <w:rFonts w:eastAsia="Times New Roman" w:cs="Times New Roman"/>
          <w:sz w:val="24"/>
          <w:szCs w:val="24"/>
          <w:lang w:val="en-US"/>
        </w:rPr>
        <w:t xml:space="preserve"> of the contract (or draft/final agreement) with a qualified energy audit service provider employing accredited auditors registered in the CNED Electronic Register of Energy </w:t>
      </w:r>
      <w:proofErr w:type="gramStart"/>
      <w:r w:rsidRPr="003275E0">
        <w:rPr>
          <w:rFonts w:eastAsia="Times New Roman" w:cs="Times New Roman"/>
          <w:sz w:val="24"/>
          <w:szCs w:val="24"/>
          <w:lang w:val="en-US"/>
        </w:rPr>
        <w:t>Auditors;</w:t>
      </w:r>
      <w:proofErr w:type="gramEnd"/>
      <w:r w:rsidRPr="003275E0">
        <w:rPr>
          <w:rFonts w:eastAsia="Times New Roman" w:cs="Times New Roman"/>
          <w:sz w:val="24"/>
          <w:szCs w:val="24"/>
          <w:lang w:val="en-US"/>
        </w:rPr>
        <w:t xml:space="preserve"> </w:t>
      </w:r>
    </w:p>
    <w:p w14:paraId="01980428" w14:textId="443FD60B" w:rsidR="000E0764"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t>f</w:t>
      </w:r>
      <w:proofErr w:type="gramStart"/>
      <w:r w:rsidRPr="003275E0">
        <w:rPr>
          <w:rFonts w:eastAsia="Times New Roman" w:cs="Times New Roman"/>
          <w:sz w:val="24"/>
          <w:szCs w:val="24"/>
          <w:lang w:val="en-US"/>
        </w:rPr>
        <w:t xml:space="preserve">. </w:t>
      </w:r>
      <w:r w:rsidR="005F4758" w:rsidRPr="003275E0">
        <w:rPr>
          <w:rFonts w:eastAsia="Times New Roman" w:cs="Times New Roman"/>
          <w:sz w:val="24"/>
          <w:szCs w:val="24"/>
          <w:lang w:val="en-US"/>
        </w:rPr>
        <w:tab/>
      </w:r>
      <w:r w:rsidRPr="003275E0">
        <w:rPr>
          <w:rFonts w:eastAsia="Times New Roman" w:cs="Times New Roman"/>
          <w:sz w:val="24"/>
          <w:szCs w:val="24"/>
          <w:lang w:val="en-US"/>
        </w:rPr>
        <w:t>Signed</w:t>
      </w:r>
      <w:proofErr w:type="gramEnd"/>
      <w:r w:rsidRPr="003275E0">
        <w:rPr>
          <w:rFonts w:eastAsia="Times New Roman" w:cs="Times New Roman"/>
          <w:sz w:val="24"/>
          <w:szCs w:val="24"/>
          <w:lang w:val="en-US"/>
        </w:rPr>
        <w:t xml:space="preserve"> Declaration on Eligibility, Compliance and Accuracy of Information (</w:t>
      </w:r>
      <w:r w:rsidRPr="003275E0">
        <w:rPr>
          <w:rFonts w:eastAsia="Times New Roman" w:cs="Times New Roman"/>
          <w:b/>
          <w:bCs/>
          <w:sz w:val="24"/>
          <w:szCs w:val="24"/>
          <w:lang w:val="en-US"/>
        </w:rPr>
        <w:t>Annex 3</w:t>
      </w:r>
      <w:r w:rsidRPr="003275E0">
        <w:rPr>
          <w:rFonts w:eastAsia="Times New Roman" w:cs="Times New Roman"/>
          <w:sz w:val="24"/>
          <w:szCs w:val="24"/>
          <w:lang w:val="en-US"/>
        </w:rPr>
        <w:t>), confirming all relevant commitments and absence of disqualifying factors.</w:t>
      </w:r>
    </w:p>
    <w:p w14:paraId="3FE4293B" w14:textId="58DE658F" w:rsidR="000E0764" w:rsidRPr="003275E0" w:rsidRDefault="000E0764" w:rsidP="00CB3CFE">
      <w:pPr>
        <w:spacing w:after="120"/>
        <w:ind w:left="720" w:hanging="360"/>
        <w:rPr>
          <w:rFonts w:eastAsia="Times New Roman" w:cs="Times New Roman"/>
          <w:sz w:val="24"/>
          <w:szCs w:val="24"/>
          <w:lang w:val="en-US"/>
        </w:rPr>
      </w:pPr>
      <w:r w:rsidRPr="003275E0">
        <w:rPr>
          <w:rFonts w:eastAsia="Times New Roman" w:cs="Times New Roman"/>
          <w:sz w:val="24"/>
          <w:szCs w:val="24"/>
          <w:lang w:val="en-US"/>
        </w:rPr>
        <w:t>g.</w:t>
      </w:r>
      <w:r w:rsidR="00713B75" w:rsidRPr="003275E0">
        <w:rPr>
          <w:rFonts w:eastAsia="Times New Roman" w:cs="Times New Roman"/>
          <w:sz w:val="24"/>
          <w:szCs w:val="24"/>
          <w:lang w:val="en-US"/>
        </w:rPr>
        <w:tab/>
      </w:r>
      <w:r w:rsidRPr="003275E0">
        <w:rPr>
          <w:rFonts w:eastAsia="Times New Roman" w:cs="Times New Roman"/>
          <w:sz w:val="24"/>
          <w:szCs w:val="24"/>
          <w:lang w:val="en-US"/>
        </w:rPr>
        <w:t>Recent energy consumption data (covering at least the last full reporting year), including:</w:t>
      </w:r>
    </w:p>
    <w:p w14:paraId="2F0E86D7" w14:textId="77777777" w:rsidR="000E0764" w:rsidRPr="003275E0" w:rsidRDefault="000E0764" w:rsidP="00CB3CFE">
      <w:pPr>
        <w:numPr>
          <w:ilvl w:val="0"/>
          <w:numId w:val="13"/>
        </w:numPr>
        <w:tabs>
          <w:tab w:val="clear" w:pos="720"/>
          <w:tab w:val="num" w:pos="1080"/>
        </w:tabs>
        <w:spacing w:after="120"/>
        <w:ind w:left="1080"/>
        <w:rPr>
          <w:rFonts w:eastAsia="Times New Roman" w:cs="Times New Roman"/>
          <w:sz w:val="24"/>
          <w:szCs w:val="24"/>
          <w:lang w:val="en-US"/>
        </w:rPr>
      </w:pPr>
      <w:r w:rsidRPr="003275E0">
        <w:rPr>
          <w:rFonts w:eastAsia="Times New Roman" w:cs="Times New Roman"/>
          <w:sz w:val="24"/>
          <w:szCs w:val="24"/>
          <w:lang w:val="en-US"/>
        </w:rPr>
        <w:t xml:space="preserve">electricity bills / consumption </w:t>
      </w:r>
      <w:proofErr w:type="gramStart"/>
      <w:r w:rsidRPr="003275E0">
        <w:rPr>
          <w:rFonts w:eastAsia="Times New Roman" w:cs="Times New Roman"/>
          <w:sz w:val="24"/>
          <w:szCs w:val="24"/>
          <w:lang w:val="en-US"/>
        </w:rPr>
        <w:t>records;</w:t>
      </w:r>
      <w:proofErr w:type="gramEnd"/>
    </w:p>
    <w:p w14:paraId="5B57B335" w14:textId="77777777" w:rsidR="000E0764" w:rsidRPr="003275E0" w:rsidRDefault="000E0764" w:rsidP="00CB3CFE">
      <w:pPr>
        <w:numPr>
          <w:ilvl w:val="0"/>
          <w:numId w:val="13"/>
        </w:numPr>
        <w:tabs>
          <w:tab w:val="clear" w:pos="720"/>
          <w:tab w:val="num" w:pos="1080"/>
        </w:tabs>
        <w:spacing w:after="120"/>
        <w:ind w:left="1080"/>
        <w:rPr>
          <w:rFonts w:eastAsia="Times New Roman" w:cs="Times New Roman"/>
          <w:sz w:val="24"/>
          <w:szCs w:val="24"/>
          <w:lang w:val="en-US"/>
        </w:rPr>
      </w:pPr>
      <w:r w:rsidRPr="003275E0">
        <w:rPr>
          <w:rFonts w:eastAsia="Times New Roman" w:cs="Times New Roman"/>
          <w:sz w:val="24"/>
          <w:szCs w:val="24"/>
          <w:lang w:val="en-US"/>
        </w:rPr>
        <w:t xml:space="preserve">natural gas or thermal energy </w:t>
      </w:r>
      <w:proofErr w:type="gramStart"/>
      <w:r w:rsidRPr="003275E0">
        <w:rPr>
          <w:rFonts w:eastAsia="Times New Roman" w:cs="Times New Roman"/>
          <w:sz w:val="24"/>
          <w:szCs w:val="24"/>
          <w:lang w:val="en-US"/>
        </w:rPr>
        <w:t>invoices;</w:t>
      </w:r>
      <w:proofErr w:type="gramEnd"/>
    </w:p>
    <w:p w14:paraId="4E82CE92" w14:textId="77777777" w:rsidR="000E0764" w:rsidRPr="003275E0" w:rsidRDefault="000E0764" w:rsidP="00CB3CFE">
      <w:pPr>
        <w:numPr>
          <w:ilvl w:val="0"/>
          <w:numId w:val="13"/>
        </w:numPr>
        <w:tabs>
          <w:tab w:val="clear" w:pos="720"/>
          <w:tab w:val="num" w:pos="1080"/>
        </w:tabs>
        <w:spacing w:after="120"/>
        <w:ind w:left="1080"/>
        <w:rPr>
          <w:rFonts w:eastAsia="Times New Roman" w:cs="Times New Roman"/>
          <w:sz w:val="24"/>
          <w:szCs w:val="24"/>
          <w:lang w:val="en-US"/>
        </w:rPr>
      </w:pPr>
      <w:r w:rsidRPr="003275E0">
        <w:rPr>
          <w:rFonts w:eastAsia="Times New Roman" w:cs="Times New Roman"/>
          <w:sz w:val="24"/>
          <w:szCs w:val="24"/>
          <w:lang w:val="en-US"/>
        </w:rPr>
        <w:t>fuel consumption records (diesel, coal, etc.</w:t>
      </w:r>
      <w:proofErr w:type="gramStart"/>
      <w:r w:rsidRPr="003275E0">
        <w:rPr>
          <w:rFonts w:eastAsia="Times New Roman" w:cs="Times New Roman"/>
          <w:sz w:val="24"/>
          <w:szCs w:val="24"/>
          <w:lang w:val="en-US"/>
        </w:rPr>
        <w:t>);</w:t>
      </w:r>
      <w:proofErr w:type="gramEnd"/>
    </w:p>
    <w:p w14:paraId="67045B97" w14:textId="77777777" w:rsidR="006667A1" w:rsidRPr="003275E0" w:rsidRDefault="000E0764" w:rsidP="00CB3CFE">
      <w:pPr>
        <w:numPr>
          <w:ilvl w:val="0"/>
          <w:numId w:val="13"/>
        </w:numPr>
        <w:tabs>
          <w:tab w:val="clear" w:pos="720"/>
          <w:tab w:val="num" w:pos="1080"/>
        </w:tabs>
        <w:spacing w:after="120"/>
        <w:ind w:left="1080"/>
        <w:rPr>
          <w:rFonts w:eastAsia="Times New Roman" w:cs="Times New Roman"/>
          <w:sz w:val="24"/>
          <w:szCs w:val="24"/>
          <w:lang w:val="en-US"/>
        </w:rPr>
      </w:pPr>
      <w:r w:rsidRPr="003275E0">
        <w:rPr>
          <w:rFonts w:eastAsia="Times New Roman" w:cs="Times New Roman"/>
          <w:sz w:val="24"/>
          <w:szCs w:val="24"/>
          <w:lang w:val="en-US"/>
        </w:rPr>
        <w:t>internal energy monitoring reports or annual energy balance (if available</w:t>
      </w:r>
      <w:proofErr w:type="gramStart"/>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73B81447" w14:textId="1E7BB150" w:rsidR="002F1EEE" w:rsidRPr="003275E0" w:rsidRDefault="000E0764" w:rsidP="00CB3CFE">
      <w:pPr>
        <w:spacing w:after="120"/>
        <w:ind w:left="720" w:hanging="360"/>
        <w:jc w:val="both"/>
        <w:rPr>
          <w:rFonts w:eastAsia="Times New Roman" w:cs="Times New Roman"/>
          <w:sz w:val="24"/>
          <w:szCs w:val="24"/>
          <w:lang w:val="en-US"/>
        </w:rPr>
      </w:pPr>
      <w:r w:rsidRPr="003275E0">
        <w:rPr>
          <w:rFonts w:eastAsia="Times New Roman" w:cs="Times New Roman"/>
          <w:sz w:val="24"/>
          <w:szCs w:val="24"/>
          <w:lang w:val="en-US"/>
        </w:rPr>
        <w:t xml:space="preserve">h. </w:t>
      </w:r>
      <w:r w:rsidR="001D7AD1" w:rsidRPr="00514A1A">
        <w:rPr>
          <w:lang w:val="en-US"/>
        </w:rPr>
        <w:tab/>
      </w:r>
      <w:r w:rsidRPr="003275E0">
        <w:rPr>
          <w:rFonts w:eastAsia="Times New Roman" w:cs="Times New Roman"/>
          <w:sz w:val="24"/>
          <w:szCs w:val="24"/>
          <w:lang w:val="en-US"/>
        </w:rPr>
        <w:t>Photographic evidence (5–10 photos) of key premises, major energy-consuming equipment, or facilities (optional but highly recommended to support assessment of energy relevance</w:t>
      </w:r>
      <w:proofErr w:type="gramStart"/>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3D66E2C0" w14:textId="03A88FCA" w:rsidR="00492D34" w:rsidRPr="00514A1A" w:rsidRDefault="000E0764" w:rsidP="00CB3CFE">
      <w:pPr>
        <w:spacing w:after="120"/>
        <w:ind w:left="720" w:hanging="360"/>
        <w:jc w:val="both"/>
        <w:rPr>
          <w:lang w:val="en-US"/>
        </w:rPr>
      </w:pPr>
      <w:r w:rsidRPr="003275E0">
        <w:rPr>
          <w:rFonts w:eastAsia="Times New Roman" w:cs="Times New Roman"/>
          <w:sz w:val="24"/>
          <w:szCs w:val="24"/>
          <w:lang w:val="en-US"/>
        </w:rPr>
        <w:t>j</w:t>
      </w:r>
      <w:proofErr w:type="gramStart"/>
      <w:r w:rsidRPr="003275E0">
        <w:rPr>
          <w:rFonts w:eastAsia="Times New Roman" w:cs="Times New Roman"/>
          <w:sz w:val="24"/>
          <w:szCs w:val="24"/>
          <w:lang w:val="en-US"/>
        </w:rPr>
        <w:t xml:space="preserve">. </w:t>
      </w:r>
      <w:r w:rsidR="001D7AD1" w:rsidRPr="00514A1A">
        <w:rPr>
          <w:lang w:val="en-GB"/>
        </w:rPr>
        <w:tab/>
      </w:r>
      <w:r w:rsidRPr="003275E0">
        <w:rPr>
          <w:rFonts w:eastAsia="Times New Roman" w:cs="Times New Roman"/>
          <w:sz w:val="24"/>
          <w:szCs w:val="24"/>
          <w:lang w:val="en-US"/>
        </w:rPr>
        <w:t>Evidence</w:t>
      </w:r>
      <w:proofErr w:type="gramEnd"/>
      <w:r w:rsidRPr="003275E0">
        <w:rPr>
          <w:rFonts w:eastAsia="Times New Roman" w:cs="Times New Roman"/>
          <w:sz w:val="24"/>
          <w:szCs w:val="24"/>
          <w:lang w:val="en-US"/>
        </w:rPr>
        <w:t xml:space="preserve"> of intention to implement audit recommendations (e.g., board/management decision or strategic plan reference</w:t>
      </w:r>
      <w:proofErr w:type="gramStart"/>
      <w:r w:rsidRPr="003275E0">
        <w:rPr>
          <w:rFonts w:eastAsia="Times New Roman" w:cs="Times New Roman"/>
          <w:sz w:val="24"/>
          <w:szCs w:val="24"/>
          <w:lang w:val="en-US"/>
        </w:rPr>
        <w:t>);</w:t>
      </w:r>
      <w:proofErr w:type="gramEnd"/>
      <w:r w:rsidRPr="003275E0">
        <w:rPr>
          <w:rFonts w:eastAsia="Times New Roman" w:cs="Times New Roman"/>
          <w:sz w:val="24"/>
          <w:szCs w:val="24"/>
          <w:lang w:val="en-US"/>
        </w:rPr>
        <w:t xml:space="preserve"> </w:t>
      </w:r>
    </w:p>
    <w:p w14:paraId="08A1C8DC" w14:textId="675960C4" w:rsidR="000E0764" w:rsidRPr="003275E0" w:rsidRDefault="5FED2F38" w:rsidP="00CB3CFE">
      <w:pPr>
        <w:spacing w:after="120"/>
        <w:ind w:left="720" w:hanging="360"/>
        <w:jc w:val="both"/>
        <w:rPr>
          <w:rFonts w:eastAsia="Times New Roman" w:cs="Times New Roman"/>
          <w:sz w:val="24"/>
          <w:szCs w:val="24"/>
          <w:lang w:val="en-US"/>
        </w:rPr>
      </w:pPr>
      <w:r w:rsidRPr="30E9E5A7">
        <w:rPr>
          <w:rFonts w:eastAsia="Times New Roman" w:cs="Times New Roman"/>
          <w:sz w:val="24"/>
          <w:szCs w:val="24"/>
          <w:lang w:val="en-US"/>
        </w:rPr>
        <w:t>k.</w:t>
      </w:r>
      <w:r w:rsidR="000E0764" w:rsidRPr="00514A1A">
        <w:rPr>
          <w:lang w:val="en-US"/>
        </w:rPr>
        <w:tab/>
      </w:r>
      <w:r w:rsidR="000E0764" w:rsidRPr="003275E0">
        <w:rPr>
          <w:rFonts w:eastAsia="Times New Roman" w:cs="Times New Roman"/>
          <w:sz w:val="24"/>
          <w:szCs w:val="24"/>
          <w:lang w:val="en-US"/>
        </w:rPr>
        <w:t>Any additional relevant materials (e.g., previous energy-related reports, sustainability strategies).</w:t>
      </w:r>
    </w:p>
    <w:p w14:paraId="41A35C8A" w14:textId="432412C0" w:rsidR="000E0764" w:rsidRPr="003275E0" w:rsidRDefault="000E0764" w:rsidP="00CB3CFE">
      <w:pPr>
        <w:spacing w:after="120"/>
        <w:jc w:val="both"/>
        <w:rPr>
          <w:rFonts w:eastAsia="Times New Roman" w:cs="Times New Roman"/>
          <w:sz w:val="24"/>
          <w:szCs w:val="24"/>
          <w:lang w:val="en-US"/>
        </w:rPr>
      </w:pPr>
      <w:r w:rsidRPr="003275E0">
        <w:rPr>
          <w:rFonts w:eastAsia="Times New Roman" w:cs="Times New Roman"/>
          <w:sz w:val="24"/>
          <w:szCs w:val="24"/>
          <w:lang w:val="en-US"/>
        </w:rPr>
        <w:t>Incomplete application files that do not include all mandatory documents (</w:t>
      </w:r>
      <w:r w:rsidR="006B509B" w:rsidRPr="006B509B">
        <w:rPr>
          <w:rFonts w:eastAsia="Times New Roman" w:cs="Times New Roman"/>
          <w:sz w:val="24"/>
          <w:szCs w:val="24"/>
          <w:lang w:val="en-US"/>
        </w:rPr>
        <w:t>especially proof of inclusion in the CNED list and the audit contract, or evidence of an advanced selection process</w:t>
      </w:r>
      <w:r w:rsidRPr="003275E0">
        <w:rPr>
          <w:rFonts w:eastAsia="Times New Roman" w:cs="Times New Roman"/>
          <w:sz w:val="24"/>
          <w:szCs w:val="24"/>
          <w:lang w:val="en-US"/>
        </w:rPr>
        <w:t>) will not be considered eligible and will be rejected at the administrative stage.</w:t>
      </w:r>
    </w:p>
    <w:p w14:paraId="384BCC9F" w14:textId="7E9EEF41" w:rsidR="000E0764" w:rsidRPr="003275E0" w:rsidRDefault="000E0764" w:rsidP="00CB3CFE">
      <w:pPr>
        <w:spacing w:after="120"/>
        <w:rPr>
          <w:rFonts w:eastAsia="Times New Roman" w:cs="Times New Roman"/>
          <w:sz w:val="24"/>
          <w:szCs w:val="24"/>
          <w:lang w:val="en-US"/>
        </w:rPr>
      </w:pPr>
      <w:r w:rsidRPr="003275E0">
        <w:rPr>
          <w:rFonts w:eastAsia="Times New Roman" w:cs="Times New Roman"/>
          <w:sz w:val="24"/>
          <w:szCs w:val="24"/>
          <w:lang w:val="en-US"/>
        </w:rPr>
        <w:t>The implementation of the project will follow the stages outlined below:</w:t>
      </w:r>
    </w:p>
    <w:p w14:paraId="4EF5C554" w14:textId="77777777"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Submission of application files by interested large </w:t>
      </w:r>
      <w:proofErr w:type="gramStart"/>
      <w:r w:rsidRPr="003275E0">
        <w:rPr>
          <w:rFonts w:eastAsia="Times New Roman" w:cs="Times New Roman"/>
          <w:sz w:val="24"/>
          <w:szCs w:val="24"/>
          <w:lang w:val="en-US"/>
        </w:rPr>
        <w:t>enterprises;</w:t>
      </w:r>
      <w:proofErr w:type="gramEnd"/>
    </w:p>
    <w:p w14:paraId="45A011FD" w14:textId="77777777"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Administrative and technical evaluation of the submitted </w:t>
      </w:r>
      <w:proofErr w:type="gramStart"/>
      <w:r w:rsidRPr="003275E0">
        <w:rPr>
          <w:rFonts w:eastAsia="Times New Roman" w:cs="Times New Roman"/>
          <w:sz w:val="24"/>
          <w:szCs w:val="24"/>
          <w:lang w:val="en-US"/>
        </w:rPr>
        <w:t>applications;</w:t>
      </w:r>
      <w:proofErr w:type="gramEnd"/>
    </w:p>
    <w:p w14:paraId="28DEF506" w14:textId="77777777"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Approval of the selection decision by the Evaluation </w:t>
      </w:r>
      <w:proofErr w:type="gramStart"/>
      <w:r w:rsidRPr="003275E0">
        <w:rPr>
          <w:rFonts w:eastAsia="Times New Roman" w:cs="Times New Roman"/>
          <w:sz w:val="24"/>
          <w:szCs w:val="24"/>
          <w:lang w:val="en-US"/>
        </w:rPr>
        <w:t>Committee;</w:t>
      </w:r>
      <w:proofErr w:type="gramEnd"/>
    </w:p>
    <w:p w14:paraId="0C6AA00E" w14:textId="77777777"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Official notification of selected and non-selected </w:t>
      </w:r>
      <w:proofErr w:type="gramStart"/>
      <w:r w:rsidRPr="003275E0">
        <w:rPr>
          <w:rFonts w:eastAsia="Times New Roman" w:cs="Times New Roman"/>
          <w:sz w:val="24"/>
          <w:szCs w:val="24"/>
          <w:lang w:val="en-US"/>
        </w:rPr>
        <w:t>applicants;</w:t>
      </w:r>
      <w:proofErr w:type="gramEnd"/>
    </w:p>
    <w:p w14:paraId="718AE764" w14:textId="6AE22D92"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Signing of </w:t>
      </w:r>
      <w:r w:rsidR="003B78C3" w:rsidRPr="003B78C3">
        <w:rPr>
          <w:rFonts w:eastAsia="Times New Roman" w:cs="Times New Roman"/>
          <w:sz w:val="24"/>
          <w:szCs w:val="24"/>
          <w:lang w:val="en-US"/>
        </w:rPr>
        <w:t xml:space="preserve">a </w:t>
      </w:r>
      <w:r w:rsidR="00C136B1">
        <w:rPr>
          <w:rFonts w:eastAsia="Times New Roman" w:cs="Times New Roman"/>
          <w:sz w:val="24"/>
          <w:szCs w:val="24"/>
          <w:lang w:val="en-US"/>
        </w:rPr>
        <w:t xml:space="preserve">Low Value </w:t>
      </w:r>
      <w:r w:rsidR="003B78C3" w:rsidRPr="003B78C3">
        <w:rPr>
          <w:rFonts w:eastAsia="Times New Roman" w:cs="Times New Roman"/>
          <w:sz w:val="24"/>
          <w:szCs w:val="24"/>
          <w:lang w:val="en-US"/>
        </w:rPr>
        <w:t>Performance-Based Payment (PBP) Agreement</w:t>
      </w:r>
      <w:r w:rsidR="003B78C3">
        <w:rPr>
          <w:rFonts w:eastAsia="Times New Roman" w:cs="Times New Roman"/>
          <w:sz w:val="24"/>
          <w:szCs w:val="24"/>
          <w:lang w:val="en-US"/>
        </w:rPr>
        <w:t xml:space="preserve"> </w:t>
      </w:r>
      <w:r w:rsidRPr="003275E0">
        <w:rPr>
          <w:rFonts w:eastAsia="Times New Roman" w:cs="Times New Roman"/>
          <w:sz w:val="24"/>
          <w:szCs w:val="24"/>
          <w:lang w:val="en-US"/>
        </w:rPr>
        <w:t>between UNDP Moldova and the selected enterprises</w:t>
      </w:r>
      <w:r w:rsidR="00ED5E64">
        <w:rPr>
          <w:rFonts w:eastAsia="Times New Roman" w:cs="Times New Roman"/>
          <w:sz w:val="24"/>
          <w:szCs w:val="24"/>
          <w:lang w:val="en-US"/>
        </w:rPr>
        <w:t xml:space="preserve">. </w:t>
      </w:r>
      <w:r w:rsidR="00C56DF1" w:rsidRPr="00C56DF1">
        <w:rPr>
          <w:rFonts w:eastAsia="Times New Roman" w:cs="Times New Roman"/>
          <w:sz w:val="24"/>
          <w:szCs w:val="24"/>
          <w:lang w:val="en-US"/>
        </w:rPr>
        <w:t xml:space="preserve">The Agreement will define the agreed results, deliverables, and payment-linked indicators, as well as reporting obligations. Payments will be made strictly in arrears and will be contingent upon the verified achievement of the specified results and completion of the corresponding </w:t>
      </w:r>
      <w:proofErr w:type="gramStart"/>
      <w:r w:rsidR="00C56DF1" w:rsidRPr="00C56DF1">
        <w:rPr>
          <w:rFonts w:eastAsia="Times New Roman" w:cs="Times New Roman"/>
          <w:sz w:val="24"/>
          <w:szCs w:val="24"/>
          <w:lang w:val="en-US"/>
        </w:rPr>
        <w:t>deliverables</w:t>
      </w:r>
      <w:r w:rsidRPr="003275E0">
        <w:rPr>
          <w:rFonts w:eastAsia="Times New Roman" w:cs="Times New Roman"/>
          <w:sz w:val="24"/>
          <w:szCs w:val="24"/>
          <w:lang w:val="en-US"/>
        </w:rPr>
        <w:t>;</w:t>
      </w:r>
      <w:proofErr w:type="gramEnd"/>
    </w:p>
    <w:p w14:paraId="78DBCAE8" w14:textId="77777777"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Conducting the mandatory energy audit by the enterprise-contracted qualified </w:t>
      </w:r>
      <w:proofErr w:type="gramStart"/>
      <w:r w:rsidRPr="003275E0">
        <w:rPr>
          <w:rFonts w:eastAsia="Times New Roman" w:cs="Times New Roman"/>
          <w:sz w:val="24"/>
          <w:szCs w:val="24"/>
          <w:lang w:val="en-US"/>
        </w:rPr>
        <w:t>provider;</w:t>
      </w:r>
      <w:proofErr w:type="gramEnd"/>
    </w:p>
    <w:p w14:paraId="23040F8F" w14:textId="77777777"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 xml:space="preserve">Submission of the completed audit report to CNED for official review and </w:t>
      </w:r>
      <w:proofErr w:type="gramStart"/>
      <w:r w:rsidRPr="003275E0">
        <w:rPr>
          <w:rFonts w:eastAsia="Times New Roman" w:cs="Times New Roman"/>
          <w:sz w:val="24"/>
          <w:szCs w:val="24"/>
          <w:lang w:val="en-US"/>
        </w:rPr>
        <w:t>validation;</w:t>
      </w:r>
      <w:proofErr w:type="gramEnd"/>
    </w:p>
    <w:p w14:paraId="6DD59C5D" w14:textId="3FE72860" w:rsidR="000E0764" w:rsidRPr="003275E0" w:rsidRDefault="000E0764" w:rsidP="00CB3CFE">
      <w:pPr>
        <w:numPr>
          <w:ilvl w:val="0"/>
          <w:numId w:val="14"/>
        </w:numPr>
        <w:spacing w:after="120"/>
        <w:jc w:val="both"/>
        <w:rPr>
          <w:rFonts w:eastAsia="Times New Roman" w:cs="Times New Roman"/>
          <w:sz w:val="24"/>
          <w:szCs w:val="24"/>
          <w:lang w:val="en-US"/>
        </w:rPr>
      </w:pPr>
      <w:r w:rsidRPr="003275E0">
        <w:rPr>
          <w:rFonts w:eastAsia="Times New Roman" w:cs="Times New Roman"/>
          <w:sz w:val="24"/>
          <w:szCs w:val="24"/>
          <w:lang w:val="en-US"/>
        </w:rPr>
        <w:t>Upon CNED validation</w:t>
      </w:r>
      <w:r w:rsidR="005D1C8A" w:rsidRPr="00514A1A">
        <w:rPr>
          <w:lang w:val="en-US"/>
        </w:rPr>
        <w:t xml:space="preserve"> </w:t>
      </w:r>
      <w:r w:rsidR="005D1C8A" w:rsidRPr="005D1C8A">
        <w:rPr>
          <w:rFonts w:eastAsia="Times New Roman" w:cs="Times New Roman"/>
          <w:sz w:val="24"/>
          <w:szCs w:val="24"/>
          <w:lang w:val="en-US"/>
        </w:rPr>
        <w:t xml:space="preserve">of the energy audit, and subject to verification that the agreed results and payment-linked indicators have been achieved, UNDP will process performance-based payments as follows: (i) </w:t>
      </w:r>
      <w:r w:rsidR="006F0438" w:rsidRPr="006F0438">
        <w:rPr>
          <w:rFonts w:eastAsia="Times New Roman" w:cs="Times New Roman"/>
          <w:sz w:val="24"/>
          <w:szCs w:val="24"/>
          <w:lang w:val="en-US"/>
        </w:rPr>
        <w:t>a performance-based payment for the energy audit results of up to USD 10,000 per validated audit, but not exceeding 50% of the contract value for energy audit development services</w:t>
      </w:r>
      <w:r w:rsidR="005D1C8A" w:rsidRPr="005D1C8A">
        <w:rPr>
          <w:rFonts w:eastAsia="Times New Roman" w:cs="Times New Roman"/>
          <w:sz w:val="24"/>
          <w:szCs w:val="24"/>
          <w:lang w:val="en-US"/>
        </w:rPr>
        <w:t xml:space="preserve">, and (ii) where applicable, additional targeted </w:t>
      </w:r>
      <w:r w:rsidR="005D1C8A" w:rsidRPr="005D1C8A">
        <w:rPr>
          <w:rFonts w:eastAsia="Times New Roman" w:cs="Times New Roman"/>
          <w:sz w:val="24"/>
          <w:szCs w:val="24"/>
          <w:lang w:val="en-US"/>
        </w:rPr>
        <w:lastRenderedPageBreak/>
        <w:t xml:space="preserve">support (up to USD 4,000) for the adoption of energy management systems (e.g., ISO 50001). All payments will be made in arrears and only upon confirmation of </w:t>
      </w:r>
      <w:proofErr w:type="gramStart"/>
      <w:r w:rsidR="005D1C8A" w:rsidRPr="005D1C8A">
        <w:rPr>
          <w:rFonts w:eastAsia="Times New Roman" w:cs="Times New Roman"/>
          <w:sz w:val="24"/>
          <w:szCs w:val="24"/>
          <w:lang w:val="en-US"/>
        </w:rPr>
        <w:t>achieved results</w:t>
      </w:r>
      <w:proofErr w:type="gramEnd"/>
      <w:r w:rsidR="005D1C8A">
        <w:rPr>
          <w:rFonts w:eastAsia="Times New Roman" w:cs="Times New Roman"/>
          <w:sz w:val="24"/>
          <w:szCs w:val="24"/>
          <w:lang w:val="en-US"/>
        </w:rPr>
        <w:t>.</w:t>
      </w:r>
    </w:p>
    <w:p w14:paraId="561830EC" w14:textId="77777777" w:rsidR="00E70B3D" w:rsidRPr="003275E0" w:rsidRDefault="00E70B3D" w:rsidP="00CB3CFE">
      <w:pPr>
        <w:spacing w:after="120"/>
        <w:jc w:val="both"/>
        <w:rPr>
          <w:sz w:val="24"/>
          <w:szCs w:val="24"/>
          <w:lang w:val="en-US"/>
        </w:rPr>
      </w:pPr>
    </w:p>
    <w:p w14:paraId="35BEC139" w14:textId="5272F94E" w:rsidR="004348BC" w:rsidRPr="003275E0" w:rsidRDefault="0053563D" w:rsidP="00CB3CFE">
      <w:pPr>
        <w:pStyle w:val="ListParagraph"/>
        <w:numPr>
          <w:ilvl w:val="3"/>
          <w:numId w:val="2"/>
        </w:numPr>
        <w:tabs>
          <w:tab w:val="left" w:pos="2970"/>
        </w:tabs>
        <w:spacing w:after="120"/>
        <w:ind w:left="540" w:hanging="540"/>
        <w:jc w:val="center"/>
        <w:rPr>
          <w:b/>
          <w:bCs/>
          <w:sz w:val="24"/>
          <w:szCs w:val="24"/>
          <w:lang w:val="en-US"/>
        </w:rPr>
      </w:pPr>
      <w:r w:rsidRPr="003275E0">
        <w:rPr>
          <w:b/>
          <w:bCs/>
          <w:sz w:val="24"/>
          <w:szCs w:val="24"/>
          <w:lang w:val="en-US"/>
        </w:rPr>
        <w:t>HOW TO SUBMIT APPLICATIONS</w:t>
      </w:r>
    </w:p>
    <w:p w14:paraId="58450BDA" w14:textId="77777777" w:rsidR="004348BC" w:rsidRPr="003275E0" w:rsidRDefault="004348BC" w:rsidP="00CB3CFE">
      <w:pPr>
        <w:spacing w:after="120"/>
        <w:jc w:val="both"/>
        <w:rPr>
          <w:sz w:val="24"/>
          <w:szCs w:val="24"/>
          <w:lang w:val="en-US"/>
        </w:rPr>
      </w:pPr>
    </w:p>
    <w:p w14:paraId="0B44A186" w14:textId="46CC0BEA" w:rsidR="00A97BA1" w:rsidRPr="003275E0" w:rsidRDefault="004348BC" w:rsidP="00CB3CFE">
      <w:pPr>
        <w:spacing w:after="120"/>
        <w:ind w:left="990" w:hanging="450"/>
        <w:jc w:val="both"/>
        <w:rPr>
          <w:color w:val="FF0000"/>
          <w:sz w:val="24"/>
          <w:szCs w:val="24"/>
          <w:lang w:val="en-US"/>
        </w:rPr>
      </w:pPr>
      <w:r w:rsidRPr="003275E0">
        <w:rPr>
          <w:sz w:val="24"/>
          <w:szCs w:val="24"/>
          <w:lang w:val="en-US"/>
        </w:rPr>
        <w:t xml:space="preserve">3.1 </w:t>
      </w:r>
      <w:r w:rsidR="0053563D" w:rsidRPr="003275E0">
        <w:rPr>
          <w:sz w:val="24"/>
          <w:szCs w:val="24"/>
          <w:lang w:val="en-US"/>
        </w:rPr>
        <w:t xml:space="preserve">The deadline for submitting applications </w:t>
      </w:r>
      <w:r w:rsidR="0053563D" w:rsidRPr="003744FB">
        <w:rPr>
          <w:sz w:val="24"/>
          <w:szCs w:val="24"/>
          <w:lang w:val="en-US"/>
        </w:rPr>
        <w:t>is</w:t>
      </w:r>
      <w:r w:rsidR="000A2083" w:rsidRPr="003744FB">
        <w:rPr>
          <w:sz w:val="24"/>
          <w:szCs w:val="24"/>
          <w:lang w:val="en-US"/>
        </w:rPr>
        <w:t xml:space="preserve"> </w:t>
      </w:r>
      <w:r w:rsidR="00C1701A">
        <w:rPr>
          <w:sz w:val="24"/>
          <w:szCs w:val="24"/>
          <w:lang w:val="en-US"/>
        </w:rPr>
        <w:t>31</w:t>
      </w:r>
      <w:r w:rsidR="000A2083" w:rsidRPr="003744FB">
        <w:rPr>
          <w:sz w:val="24"/>
          <w:szCs w:val="24"/>
          <w:lang w:val="en-US"/>
        </w:rPr>
        <w:t xml:space="preserve"> May </w:t>
      </w:r>
      <w:r w:rsidR="00400951" w:rsidRPr="003744FB">
        <w:rPr>
          <w:sz w:val="24"/>
          <w:szCs w:val="24"/>
          <w:lang w:val="en-US"/>
        </w:rPr>
        <w:t>202</w:t>
      </w:r>
      <w:r w:rsidR="0053563D" w:rsidRPr="003744FB">
        <w:rPr>
          <w:sz w:val="24"/>
          <w:szCs w:val="24"/>
          <w:lang w:val="en-US"/>
        </w:rPr>
        <w:t>6</w:t>
      </w:r>
      <w:r w:rsidR="00400951" w:rsidRPr="003744FB">
        <w:rPr>
          <w:sz w:val="24"/>
          <w:szCs w:val="24"/>
          <w:lang w:val="en-US"/>
        </w:rPr>
        <w:t>.</w:t>
      </w:r>
    </w:p>
    <w:p w14:paraId="7EF37B75" w14:textId="286A85AD" w:rsidR="004348BC" w:rsidRPr="003275E0" w:rsidRDefault="0053563D" w:rsidP="00CB3CFE">
      <w:pPr>
        <w:pStyle w:val="ListParagraph"/>
        <w:numPr>
          <w:ilvl w:val="1"/>
          <w:numId w:val="4"/>
        </w:numPr>
        <w:spacing w:after="120"/>
        <w:jc w:val="both"/>
        <w:rPr>
          <w:sz w:val="24"/>
          <w:szCs w:val="24"/>
          <w:lang w:val="en-US"/>
        </w:rPr>
      </w:pPr>
      <w:r w:rsidRPr="003275E0">
        <w:rPr>
          <w:sz w:val="24"/>
          <w:szCs w:val="24"/>
          <w:lang w:val="en-US"/>
        </w:rPr>
        <w:t xml:space="preserve">Applications should be submitted to the following email address: </w:t>
      </w:r>
      <w:hyperlink r:id="rId13" w:history="1">
        <w:r w:rsidR="003744FB" w:rsidRPr="009B4C25">
          <w:rPr>
            <w:rStyle w:val="Hyperlink"/>
            <w:sz w:val="24"/>
            <w:szCs w:val="24"/>
            <w:lang w:val="en-US"/>
          </w:rPr>
          <w:t>dorin.andros@undp.org</w:t>
        </w:r>
      </w:hyperlink>
      <w:r w:rsidR="000A2083">
        <w:rPr>
          <w:lang w:val="en-US"/>
        </w:rPr>
        <w:t xml:space="preserve"> </w:t>
      </w:r>
    </w:p>
    <w:p w14:paraId="3251BD9B" w14:textId="77777777" w:rsidR="005E6E37" w:rsidRPr="003275E0" w:rsidRDefault="005E6E37" w:rsidP="00CB3CFE">
      <w:pPr>
        <w:spacing w:after="120"/>
        <w:jc w:val="both"/>
        <w:rPr>
          <w:sz w:val="24"/>
          <w:szCs w:val="24"/>
          <w:lang w:val="en-US"/>
        </w:rPr>
      </w:pPr>
    </w:p>
    <w:p w14:paraId="473716BD" w14:textId="66820E98" w:rsidR="005E6E37" w:rsidRPr="003275E0" w:rsidRDefault="00B93804" w:rsidP="00CB3CFE">
      <w:pPr>
        <w:pStyle w:val="ListParagraph"/>
        <w:numPr>
          <w:ilvl w:val="3"/>
          <w:numId w:val="2"/>
        </w:numPr>
        <w:spacing w:after="120"/>
        <w:ind w:left="540" w:hanging="540"/>
        <w:jc w:val="center"/>
        <w:rPr>
          <w:b/>
          <w:bCs/>
          <w:sz w:val="24"/>
          <w:szCs w:val="24"/>
          <w:lang w:val="en-US"/>
        </w:rPr>
      </w:pPr>
      <w:r w:rsidRPr="003275E0">
        <w:rPr>
          <w:b/>
          <w:bCs/>
          <w:sz w:val="24"/>
          <w:szCs w:val="24"/>
          <w:lang w:val="en-US"/>
        </w:rPr>
        <w:t>EVALUATION CRITERIA</w:t>
      </w:r>
    </w:p>
    <w:p w14:paraId="212573B9" w14:textId="119E1114" w:rsidR="00756BEA" w:rsidRPr="003275E0" w:rsidRDefault="00756BEA" w:rsidP="00CB3CFE">
      <w:pPr>
        <w:pStyle w:val="NormalWeb"/>
        <w:spacing w:before="0" w:beforeAutospacing="0" w:after="120" w:afterAutospacing="0"/>
        <w:jc w:val="both"/>
      </w:pPr>
      <w:r w:rsidRPr="003275E0">
        <w:t xml:space="preserve">In this competition, applications that obtain a minimum of 70 points in the technical evaluation shall be considered for selection. The final selection will be made in descending order of the technical scores, until a total of </w:t>
      </w:r>
      <w:r w:rsidRPr="003275E0">
        <w:rPr>
          <w:rStyle w:val="Strong"/>
          <w:rFonts w:eastAsiaTheme="majorEastAsia"/>
        </w:rPr>
        <w:t>five (5) large state-owned or municipal enterprises</w:t>
      </w:r>
      <w:r w:rsidRPr="003275E0">
        <w:t xml:space="preserve"> are selected to benefit from </w:t>
      </w:r>
      <w:r w:rsidR="000A747A">
        <w:t>performance-based support</w:t>
      </w:r>
      <w:r w:rsidR="000A747A" w:rsidRPr="003275E0">
        <w:t xml:space="preserve"> </w:t>
      </w:r>
      <w:r w:rsidRPr="003275E0">
        <w:t>of mandatory energy audit costs (up to USD 10,000 per validated audit report) and, where applicable, additional targeted support for adoption of energy management systems (up to USD 4,000 per enterprise).</w:t>
      </w:r>
    </w:p>
    <w:p w14:paraId="34D54119" w14:textId="77777777" w:rsidR="00756BEA" w:rsidRPr="003275E0" w:rsidRDefault="00756BEA" w:rsidP="00CB3CFE">
      <w:pPr>
        <w:pStyle w:val="NormalWeb"/>
        <w:spacing w:before="0" w:beforeAutospacing="0" w:after="120" w:afterAutospacing="0"/>
        <w:jc w:val="both"/>
      </w:pPr>
      <w:r w:rsidRPr="003275E0">
        <w:t>If the number of applications that score at least 70 points is lower than required to reach five beneficiaries, the Evaluation Committee reserves the right to organize an additional call or adjust the selection threshold accordingly.</w:t>
      </w:r>
    </w:p>
    <w:p w14:paraId="2CD7D169" w14:textId="77777777" w:rsidR="00A875B9" w:rsidRPr="003275E0" w:rsidRDefault="00756BEA" w:rsidP="00CB3CFE">
      <w:pPr>
        <w:pStyle w:val="NormalWeb"/>
        <w:spacing w:before="0" w:beforeAutospacing="0" w:after="120" w:afterAutospacing="0"/>
        <w:jc w:val="both"/>
      </w:pPr>
      <w:r w:rsidRPr="003275E0">
        <w:t xml:space="preserve">In case of equal technical scores, priority will be given in the following order: </w:t>
      </w:r>
    </w:p>
    <w:p w14:paraId="27D8443E" w14:textId="55FA2C51" w:rsidR="00A875B9" w:rsidRPr="003275E0" w:rsidRDefault="00756BEA" w:rsidP="00CB3CFE">
      <w:pPr>
        <w:pStyle w:val="NormalWeb"/>
        <w:spacing w:before="0" w:beforeAutospacing="0" w:after="120" w:afterAutospacing="0"/>
        <w:ind w:left="720" w:hanging="360"/>
        <w:jc w:val="both"/>
      </w:pPr>
      <w:r w:rsidRPr="003275E0">
        <w:t>a</w:t>
      </w:r>
      <w:proofErr w:type="gramStart"/>
      <w:r w:rsidRPr="003275E0">
        <w:t xml:space="preserve">. </w:t>
      </w:r>
      <w:r w:rsidR="00A875B9" w:rsidRPr="003275E0">
        <w:tab/>
      </w:r>
      <w:r w:rsidRPr="003275E0">
        <w:t>Enterprises</w:t>
      </w:r>
      <w:proofErr w:type="gramEnd"/>
      <w:r w:rsidRPr="003275E0">
        <w:t xml:space="preserve"> providing essential public services to the population (e.g., water supply and sanitation, energy generation/transmission/distribution, food production, public transport, or other critical infrastructure services</w:t>
      </w:r>
      <w:proofErr w:type="gramStart"/>
      <w:r w:rsidRPr="003275E0">
        <w:t>);</w:t>
      </w:r>
      <w:proofErr w:type="gramEnd"/>
      <w:r w:rsidRPr="003275E0">
        <w:t xml:space="preserve"> </w:t>
      </w:r>
    </w:p>
    <w:p w14:paraId="6AAD3763" w14:textId="7982FCDC" w:rsidR="00A875B9" w:rsidRPr="003275E0" w:rsidRDefault="00756BEA" w:rsidP="00CB3CFE">
      <w:pPr>
        <w:pStyle w:val="NormalWeb"/>
        <w:spacing w:before="0" w:beforeAutospacing="0" w:after="120" w:afterAutospacing="0"/>
        <w:ind w:left="720" w:hanging="360"/>
        <w:jc w:val="both"/>
      </w:pPr>
      <w:r w:rsidRPr="003275E0">
        <w:t>b</w:t>
      </w:r>
      <w:proofErr w:type="gramStart"/>
      <w:r w:rsidRPr="003275E0">
        <w:t xml:space="preserve">. </w:t>
      </w:r>
      <w:r w:rsidR="00A875B9" w:rsidRPr="003275E0">
        <w:tab/>
      </w:r>
      <w:r w:rsidRPr="003275E0">
        <w:t>Enterprises</w:t>
      </w:r>
      <w:proofErr w:type="gramEnd"/>
      <w:r w:rsidRPr="003275E0">
        <w:t xml:space="preserve"> with higher demonstrated absolute energy consumption or energy cost impact (based on submitted data</w:t>
      </w:r>
      <w:proofErr w:type="gramStart"/>
      <w:r w:rsidRPr="003275E0">
        <w:t>);</w:t>
      </w:r>
      <w:proofErr w:type="gramEnd"/>
      <w:r w:rsidRPr="003275E0">
        <w:t xml:space="preserve"> </w:t>
      </w:r>
    </w:p>
    <w:p w14:paraId="742F1B18" w14:textId="312B712B" w:rsidR="00756BEA" w:rsidRPr="003275E0" w:rsidRDefault="00756BEA" w:rsidP="00CB3CFE">
      <w:pPr>
        <w:pStyle w:val="NormalWeb"/>
        <w:spacing w:before="0" w:beforeAutospacing="0" w:after="120" w:afterAutospacing="0"/>
        <w:ind w:left="720" w:hanging="360"/>
        <w:jc w:val="both"/>
      </w:pPr>
      <w:r w:rsidRPr="003275E0">
        <w:t>c</w:t>
      </w:r>
      <w:proofErr w:type="gramStart"/>
      <w:r w:rsidRPr="003275E0">
        <w:t xml:space="preserve">. </w:t>
      </w:r>
      <w:r w:rsidR="00A875B9" w:rsidRPr="003275E0">
        <w:tab/>
      </w:r>
      <w:r w:rsidRPr="003275E0">
        <w:t>Date</w:t>
      </w:r>
      <w:proofErr w:type="gramEnd"/>
      <w:r w:rsidRPr="003275E0">
        <w:t xml:space="preserve"> of submission of the complete application.</w:t>
      </w:r>
    </w:p>
    <w:p w14:paraId="5EEAA50B" w14:textId="77777777" w:rsidR="00805111" w:rsidRPr="003275E0" w:rsidRDefault="00805111" w:rsidP="00CB3CFE">
      <w:pPr>
        <w:spacing w:after="120"/>
        <w:jc w:val="both"/>
        <w:rPr>
          <w:sz w:val="24"/>
          <w:szCs w:val="24"/>
          <w:lang w:val="en-US"/>
        </w:rPr>
      </w:pPr>
    </w:p>
    <w:p w14:paraId="2E6E84CE" w14:textId="77777777" w:rsidR="00C7728F" w:rsidRPr="003275E0" w:rsidRDefault="00C7728F" w:rsidP="00CB3CFE">
      <w:pPr>
        <w:spacing w:after="120"/>
        <w:jc w:val="both"/>
        <w:rPr>
          <w:b/>
          <w:bCs/>
          <w:sz w:val="24"/>
          <w:szCs w:val="24"/>
          <w:lang w:val="en-US"/>
        </w:rPr>
      </w:pPr>
      <w:r w:rsidRPr="003275E0">
        <w:rPr>
          <w:b/>
          <w:bCs/>
          <w:sz w:val="24"/>
          <w:szCs w:val="24"/>
          <w:lang w:val="en-US"/>
        </w:rPr>
        <w:t>IV.1 Administrative Eligibility Checklist</w:t>
      </w:r>
    </w:p>
    <w:tbl>
      <w:tblPr>
        <w:tblStyle w:val="TableGrid"/>
        <w:tblW w:w="0" w:type="auto"/>
        <w:tblLook w:val="04A0" w:firstRow="1" w:lastRow="0" w:firstColumn="1" w:lastColumn="0" w:noHBand="0" w:noVBand="1"/>
      </w:tblPr>
      <w:tblGrid>
        <w:gridCol w:w="481"/>
        <w:gridCol w:w="5419"/>
        <w:gridCol w:w="800"/>
        <w:gridCol w:w="822"/>
        <w:gridCol w:w="1828"/>
      </w:tblGrid>
      <w:tr w:rsidR="002E2BE3" w:rsidRPr="003275E0" w14:paraId="38177E99" w14:textId="77777777" w:rsidTr="009302F5">
        <w:tc>
          <w:tcPr>
            <w:tcW w:w="481" w:type="dxa"/>
            <w:shd w:val="clear" w:color="auto" w:fill="D9D9D9" w:themeFill="background1" w:themeFillShade="D9"/>
            <w:vAlign w:val="center"/>
          </w:tcPr>
          <w:p w14:paraId="1ACA821D" w14:textId="38EAC456" w:rsidR="00C7728F" w:rsidRPr="003275E0" w:rsidRDefault="00C7728F" w:rsidP="00CB3CFE">
            <w:pPr>
              <w:spacing w:after="120"/>
              <w:jc w:val="center"/>
              <w:rPr>
                <w:b/>
                <w:bCs/>
                <w:sz w:val="18"/>
                <w:szCs w:val="18"/>
                <w:lang w:val="en-US"/>
              </w:rPr>
            </w:pPr>
            <w:r w:rsidRPr="003275E0">
              <w:rPr>
                <w:b/>
                <w:bCs/>
                <w:sz w:val="18"/>
                <w:szCs w:val="18"/>
                <w:lang w:val="en-US"/>
              </w:rPr>
              <w:t>No.</w:t>
            </w:r>
          </w:p>
        </w:tc>
        <w:tc>
          <w:tcPr>
            <w:tcW w:w="5419" w:type="dxa"/>
            <w:shd w:val="clear" w:color="auto" w:fill="D9D9D9" w:themeFill="background1" w:themeFillShade="D9"/>
            <w:vAlign w:val="center"/>
          </w:tcPr>
          <w:p w14:paraId="65EE500D" w14:textId="217AE4DF" w:rsidR="00C7728F" w:rsidRPr="003275E0" w:rsidRDefault="00C7728F" w:rsidP="00CB3CFE">
            <w:pPr>
              <w:spacing w:after="120"/>
              <w:jc w:val="center"/>
              <w:rPr>
                <w:b/>
                <w:bCs/>
                <w:sz w:val="18"/>
                <w:szCs w:val="18"/>
                <w:lang w:val="en-US"/>
              </w:rPr>
            </w:pPr>
            <w:r w:rsidRPr="003275E0">
              <w:rPr>
                <w:b/>
                <w:bCs/>
                <w:sz w:val="18"/>
                <w:szCs w:val="18"/>
                <w:lang w:val="en-US"/>
              </w:rPr>
              <w:t>Eligibility criterion</w:t>
            </w:r>
          </w:p>
        </w:tc>
        <w:tc>
          <w:tcPr>
            <w:tcW w:w="800" w:type="dxa"/>
            <w:shd w:val="clear" w:color="auto" w:fill="D9D9D9" w:themeFill="background1" w:themeFillShade="D9"/>
            <w:vAlign w:val="center"/>
          </w:tcPr>
          <w:p w14:paraId="0281E170" w14:textId="02AAF963" w:rsidR="00C7728F" w:rsidRPr="003275E0" w:rsidRDefault="00C7728F" w:rsidP="00CB3CFE">
            <w:pPr>
              <w:spacing w:after="120"/>
              <w:jc w:val="center"/>
              <w:rPr>
                <w:b/>
                <w:bCs/>
                <w:sz w:val="18"/>
                <w:szCs w:val="18"/>
                <w:lang w:val="en-US"/>
              </w:rPr>
            </w:pPr>
            <w:r w:rsidRPr="003275E0">
              <w:rPr>
                <w:b/>
                <w:bCs/>
                <w:sz w:val="18"/>
                <w:szCs w:val="18"/>
                <w:lang w:val="en-US"/>
              </w:rPr>
              <w:t>Yes</w:t>
            </w:r>
          </w:p>
        </w:tc>
        <w:tc>
          <w:tcPr>
            <w:tcW w:w="822" w:type="dxa"/>
            <w:shd w:val="clear" w:color="auto" w:fill="D9D9D9" w:themeFill="background1" w:themeFillShade="D9"/>
            <w:vAlign w:val="center"/>
          </w:tcPr>
          <w:p w14:paraId="4BB22994" w14:textId="742DEB2E" w:rsidR="00C7728F" w:rsidRPr="003275E0" w:rsidRDefault="00C7728F" w:rsidP="00CB3CFE">
            <w:pPr>
              <w:spacing w:after="120"/>
              <w:jc w:val="center"/>
              <w:rPr>
                <w:b/>
                <w:bCs/>
                <w:sz w:val="18"/>
                <w:szCs w:val="18"/>
                <w:lang w:val="en-US"/>
              </w:rPr>
            </w:pPr>
            <w:r w:rsidRPr="003275E0">
              <w:rPr>
                <w:b/>
                <w:bCs/>
                <w:sz w:val="18"/>
                <w:szCs w:val="18"/>
                <w:lang w:val="en-US"/>
              </w:rPr>
              <w:t>No</w:t>
            </w:r>
          </w:p>
        </w:tc>
        <w:tc>
          <w:tcPr>
            <w:tcW w:w="1828" w:type="dxa"/>
            <w:shd w:val="clear" w:color="auto" w:fill="D9D9D9" w:themeFill="background1" w:themeFillShade="D9"/>
            <w:vAlign w:val="center"/>
          </w:tcPr>
          <w:p w14:paraId="0CF1ECD6" w14:textId="20A447F7" w:rsidR="00C7728F" w:rsidRPr="003275E0" w:rsidRDefault="00C7728F" w:rsidP="00CB3CFE">
            <w:pPr>
              <w:spacing w:after="120"/>
              <w:jc w:val="center"/>
              <w:rPr>
                <w:b/>
                <w:bCs/>
                <w:sz w:val="18"/>
                <w:szCs w:val="18"/>
                <w:lang w:val="en-US"/>
              </w:rPr>
            </w:pPr>
            <w:r w:rsidRPr="003275E0">
              <w:rPr>
                <w:b/>
                <w:bCs/>
                <w:sz w:val="18"/>
                <w:szCs w:val="18"/>
                <w:lang w:val="en-US"/>
              </w:rPr>
              <w:t>Remarks</w:t>
            </w:r>
          </w:p>
        </w:tc>
      </w:tr>
      <w:tr w:rsidR="002E2BE3" w:rsidRPr="00C1701A" w14:paraId="33FC4188" w14:textId="77777777" w:rsidTr="009302F5">
        <w:tc>
          <w:tcPr>
            <w:tcW w:w="481" w:type="dxa"/>
            <w:vAlign w:val="center"/>
          </w:tcPr>
          <w:p w14:paraId="7860778A" w14:textId="001CC29F"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27D6DFAC" w14:textId="4989A524" w:rsidR="001C77E6" w:rsidRPr="003275E0" w:rsidRDefault="001C77E6" w:rsidP="00CB3CFE">
            <w:pPr>
              <w:spacing w:after="120"/>
              <w:jc w:val="both"/>
              <w:rPr>
                <w:b/>
                <w:bCs/>
                <w:sz w:val="18"/>
                <w:szCs w:val="18"/>
                <w:lang w:val="en-US"/>
              </w:rPr>
            </w:pPr>
            <w:r w:rsidRPr="003275E0">
              <w:rPr>
                <w:rFonts w:eastAsia="Times New Roman" w:cs="Times New Roman"/>
                <w:sz w:val="18"/>
                <w:szCs w:val="18"/>
                <w:lang w:val="en-US"/>
              </w:rPr>
              <w:t>Be a state-owned or municipal enterprise</w:t>
            </w:r>
            <w:r w:rsidR="00047C50">
              <w:rPr>
                <w:rFonts w:eastAsia="Times New Roman" w:cs="Times New Roman"/>
                <w:sz w:val="18"/>
                <w:szCs w:val="18"/>
                <w:lang w:val="en-US"/>
              </w:rPr>
              <w:t xml:space="preserve"> </w:t>
            </w:r>
            <w:r w:rsidR="00047C50" w:rsidRPr="00047C50">
              <w:rPr>
                <w:rFonts w:eastAsia="Times New Roman" w:cs="Times New Roman"/>
                <w:sz w:val="18"/>
                <w:szCs w:val="18"/>
                <w:lang w:val="en-US"/>
              </w:rPr>
              <w:t>legally registered and operating in the Republic of Moldova</w:t>
            </w:r>
          </w:p>
        </w:tc>
        <w:tc>
          <w:tcPr>
            <w:tcW w:w="800" w:type="dxa"/>
          </w:tcPr>
          <w:p w14:paraId="794F8ABE" w14:textId="77777777" w:rsidR="001C77E6" w:rsidRPr="003275E0" w:rsidRDefault="001C77E6" w:rsidP="00CB3CFE">
            <w:pPr>
              <w:spacing w:after="120"/>
              <w:jc w:val="both"/>
              <w:rPr>
                <w:b/>
                <w:bCs/>
                <w:sz w:val="18"/>
                <w:szCs w:val="18"/>
                <w:lang w:val="en-US"/>
              </w:rPr>
            </w:pPr>
          </w:p>
        </w:tc>
        <w:tc>
          <w:tcPr>
            <w:tcW w:w="822" w:type="dxa"/>
          </w:tcPr>
          <w:p w14:paraId="7B8AA33D" w14:textId="77777777" w:rsidR="001C77E6" w:rsidRPr="003275E0" w:rsidRDefault="001C77E6" w:rsidP="00CB3CFE">
            <w:pPr>
              <w:spacing w:after="120"/>
              <w:jc w:val="both"/>
              <w:rPr>
                <w:b/>
                <w:bCs/>
                <w:sz w:val="18"/>
                <w:szCs w:val="18"/>
                <w:lang w:val="en-US"/>
              </w:rPr>
            </w:pPr>
          </w:p>
        </w:tc>
        <w:tc>
          <w:tcPr>
            <w:tcW w:w="1828" w:type="dxa"/>
          </w:tcPr>
          <w:p w14:paraId="10A5640F" w14:textId="77777777" w:rsidR="001C77E6" w:rsidRPr="003275E0" w:rsidRDefault="001C77E6" w:rsidP="00CB3CFE">
            <w:pPr>
              <w:spacing w:after="120"/>
              <w:jc w:val="both"/>
              <w:rPr>
                <w:b/>
                <w:bCs/>
                <w:sz w:val="18"/>
                <w:szCs w:val="18"/>
                <w:lang w:val="en-US"/>
              </w:rPr>
            </w:pPr>
          </w:p>
        </w:tc>
      </w:tr>
      <w:tr w:rsidR="001C77E6" w:rsidRPr="00C1701A" w14:paraId="2715AF8B" w14:textId="77777777" w:rsidTr="009302F5">
        <w:tc>
          <w:tcPr>
            <w:tcW w:w="481" w:type="dxa"/>
            <w:vAlign w:val="center"/>
          </w:tcPr>
          <w:p w14:paraId="0A9590F2" w14:textId="77777777"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26E64D89" w14:textId="7B574D2B" w:rsidR="001C77E6" w:rsidRPr="003275E0" w:rsidRDefault="001C77E6" w:rsidP="00CB3CFE">
            <w:pPr>
              <w:spacing w:after="120"/>
              <w:jc w:val="both"/>
              <w:rPr>
                <w:sz w:val="18"/>
                <w:szCs w:val="18"/>
                <w:lang w:val="en-US"/>
              </w:rPr>
            </w:pPr>
            <w:proofErr w:type="gramStart"/>
            <w:r w:rsidRPr="003275E0">
              <w:rPr>
                <w:sz w:val="18"/>
                <w:szCs w:val="18"/>
                <w:lang w:val="en-US"/>
              </w:rPr>
              <w:t>Applicant is</w:t>
            </w:r>
            <w:proofErr w:type="gramEnd"/>
            <w:r w:rsidRPr="003275E0">
              <w:rPr>
                <w:sz w:val="18"/>
                <w:szCs w:val="18"/>
                <w:lang w:val="en-US"/>
              </w:rPr>
              <w:t xml:space="preserve"> included in the official CNED list of large enterprises obligated to conduct mandatory energy audits (Order no. 60/AB of 30 December 2025 or updated list)</w:t>
            </w:r>
          </w:p>
        </w:tc>
        <w:tc>
          <w:tcPr>
            <w:tcW w:w="800" w:type="dxa"/>
          </w:tcPr>
          <w:p w14:paraId="6C394E65" w14:textId="77777777" w:rsidR="001C77E6" w:rsidRPr="003275E0" w:rsidRDefault="001C77E6" w:rsidP="00CB3CFE">
            <w:pPr>
              <w:spacing w:after="120"/>
              <w:jc w:val="both"/>
              <w:rPr>
                <w:b/>
                <w:bCs/>
                <w:sz w:val="18"/>
                <w:szCs w:val="18"/>
                <w:lang w:val="en-US"/>
              </w:rPr>
            </w:pPr>
          </w:p>
        </w:tc>
        <w:tc>
          <w:tcPr>
            <w:tcW w:w="822" w:type="dxa"/>
          </w:tcPr>
          <w:p w14:paraId="6D81596C" w14:textId="77777777" w:rsidR="001C77E6" w:rsidRPr="003275E0" w:rsidRDefault="001C77E6" w:rsidP="00CB3CFE">
            <w:pPr>
              <w:spacing w:after="120"/>
              <w:jc w:val="both"/>
              <w:rPr>
                <w:b/>
                <w:bCs/>
                <w:sz w:val="18"/>
                <w:szCs w:val="18"/>
                <w:lang w:val="en-US"/>
              </w:rPr>
            </w:pPr>
          </w:p>
        </w:tc>
        <w:tc>
          <w:tcPr>
            <w:tcW w:w="1828" w:type="dxa"/>
          </w:tcPr>
          <w:p w14:paraId="16507142" w14:textId="77777777" w:rsidR="001C77E6" w:rsidRPr="003275E0" w:rsidRDefault="001C77E6" w:rsidP="00CB3CFE">
            <w:pPr>
              <w:spacing w:after="120"/>
              <w:jc w:val="both"/>
              <w:rPr>
                <w:b/>
                <w:bCs/>
                <w:sz w:val="18"/>
                <w:szCs w:val="18"/>
                <w:lang w:val="en-US"/>
              </w:rPr>
            </w:pPr>
          </w:p>
        </w:tc>
      </w:tr>
      <w:tr w:rsidR="002E2BE3" w:rsidRPr="00C1701A" w14:paraId="35D5C0B2" w14:textId="77777777" w:rsidTr="009302F5">
        <w:tc>
          <w:tcPr>
            <w:tcW w:w="481" w:type="dxa"/>
            <w:vAlign w:val="center"/>
          </w:tcPr>
          <w:p w14:paraId="5045EEF1" w14:textId="0FB65685"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25EC611A" w14:textId="2F06B040" w:rsidR="001C77E6" w:rsidRPr="003275E0" w:rsidRDefault="001C77E6" w:rsidP="00CB3CFE">
            <w:pPr>
              <w:spacing w:after="120"/>
              <w:jc w:val="both"/>
              <w:rPr>
                <w:b/>
                <w:bCs/>
                <w:sz w:val="18"/>
                <w:szCs w:val="18"/>
                <w:lang w:val="en-US"/>
              </w:rPr>
            </w:pPr>
            <w:proofErr w:type="gramStart"/>
            <w:r w:rsidRPr="003275E0">
              <w:rPr>
                <w:sz w:val="18"/>
                <w:szCs w:val="18"/>
                <w:lang w:val="en-US"/>
              </w:rPr>
              <w:t>Applicant is</w:t>
            </w:r>
            <w:proofErr w:type="gramEnd"/>
            <w:r w:rsidRPr="003275E0">
              <w:rPr>
                <w:sz w:val="18"/>
                <w:szCs w:val="18"/>
                <w:lang w:val="en-US"/>
              </w:rPr>
              <w:t xml:space="preserve"> not subject to insolvency, liquidation, reorganization, suspension of activity, or similar proceedings</w:t>
            </w:r>
          </w:p>
        </w:tc>
        <w:tc>
          <w:tcPr>
            <w:tcW w:w="800" w:type="dxa"/>
          </w:tcPr>
          <w:p w14:paraId="7855FC35" w14:textId="77777777" w:rsidR="001C77E6" w:rsidRPr="003275E0" w:rsidRDefault="001C77E6" w:rsidP="00CB3CFE">
            <w:pPr>
              <w:spacing w:after="120"/>
              <w:jc w:val="both"/>
              <w:rPr>
                <w:b/>
                <w:bCs/>
                <w:sz w:val="18"/>
                <w:szCs w:val="18"/>
                <w:lang w:val="en-US"/>
              </w:rPr>
            </w:pPr>
          </w:p>
        </w:tc>
        <w:tc>
          <w:tcPr>
            <w:tcW w:w="822" w:type="dxa"/>
          </w:tcPr>
          <w:p w14:paraId="15B96E53" w14:textId="77777777" w:rsidR="001C77E6" w:rsidRPr="003275E0" w:rsidRDefault="001C77E6" w:rsidP="00CB3CFE">
            <w:pPr>
              <w:spacing w:after="120"/>
              <w:jc w:val="both"/>
              <w:rPr>
                <w:b/>
                <w:bCs/>
                <w:sz w:val="18"/>
                <w:szCs w:val="18"/>
                <w:lang w:val="en-US"/>
              </w:rPr>
            </w:pPr>
          </w:p>
        </w:tc>
        <w:tc>
          <w:tcPr>
            <w:tcW w:w="1828" w:type="dxa"/>
          </w:tcPr>
          <w:p w14:paraId="05CA1D61" w14:textId="77777777" w:rsidR="001C77E6" w:rsidRPr="003275E0" w:rsidRDefault="001C77E6" w:rsidP="00CB3CFE">
            <w:pPr>
              <w:spacing w:after="120"/>
              <w:jc w:val="both"/>
              <w:rPr>
                <w:b/>
                <w:bCs/>
                <w:sz w:val="18"/>
                <w:szCs w:val="18"/>
                <w:lang w:val="en-US"/>
              </w:rPr>
            </w:pPr>
          </w:p>
        </w:tc>
      </w:tr>
      <w:tr w:rsidR="002E2BE3" w:rsidRPr="00C1701A" w14:paraId="73FCBCC4" w14:textId="77777777" w:rsidTr="009302F5">
        <w:tc>
          <w:tcPr>
            <w:tcW w:w="481" w:type="dxa"/>
            <w:vAlign w:val="center"/>
          </w:tcPr>
          <w:p w14:paraId="644E37D1" w14:textId="6121DC32"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27C02DE3" w14:textId="2EA453E7" w:rsidR="001C77E6" w:rsidRPr="003275E0" w:rsidRDefault="001C77E6" w:rsidP="00CB3CFE">
            <w:pPr>
              <w:spacing w:after="120"/>
              <w:jc w:val="both"/>
              <w:rPr>
                <w:b/>
                <w:bCs/>
                <w:sz w:val="18"/>
                <w:szCs w:val="18"/>
                <w:lang w:val="en-US"/>
              </w:rPr>
            </w:pPr>
            <w:proofErr w:type="gramStart"/>
            <w:r w:rsidRPr="003275E0">
              <w:rPr>
                <w:sz w:val="18"/>
                <w:szCs w:val="18"/>
                <w:lang w:val="en-US"/>
              </w:rPr>
              <w:t>Applicant has</w:t>
            </w:r>
            <w:proofErr w:type="gramEnd"/>
            <w:r w:rsidRPr="003275E0">
              <w:rPr>
                <w:sz w:val="18"/>
                <w:szCs w:val="18"/>
                <w:lang w:val="en-US"/>
              </w:rPr>
              <w:t xml:space="preserve"> no outstanding debts to the national public budget</w:t>
            </w:r>
          </w:p>
        </w:tc>
        <w:tc>
          <w:tcPr>
            <w:tcW w:w="800" w:type="dxa"/>
          </w:tcPr>
          <w:p w14:paraId="12AD1298" w14:textId="77777777" w:rsidR="001C77E6" w:rsidRPr="003275E0" w:rsidRDefault="001C77E6" w:rsidP="00CB3CFE">
            <w:pPr>
              <w:spacing w:after="120"/>
              <w:jc w:val="both"/>
              <w:rPr>
                <w:b/>
                <w:bCs/>
                <w:sz w:val="18"/>
                <w:szCs w:val="18"/>
                <w:lang w:val="en-US"/>
              </w:rPr>
            </w:pPr>
          </w:p>
        </w:tc>
        <w:tc>
          <w:tcPr>
            <w:tcW w:w="822" w:type="dxa"/>
          </w:tcPr>
          <w:p w14:paraId="14AEFC61" w14:textId="77777777" w:rsidR="001C77E6" w:rsidRPr="003275E0" w:rsidRDefault="001C77E6" w:rsidP="00CB3CFE">
            <w:pPr>
              <w:spacing w:after="120"/>
              <w:jc w:val="both"/>
              <w:rPr>
                <w:b/>
                <w:bCs/>
                <w:sz w:val="18"/>
                <w:szCs w:val="18"/>
                <w:lang w:val="en-US"/>
              </w:rPr>
            </w:pPr>
          </w:p>
        </w:tc>
        <w:tc>
          <w:tcPr>
            <w:tcW w:w="1828" w:type="dxa"/>
          </w:tcPr>
          <w:p w14:paraId="1814E0B2" w14:textId="77777777" w:rsidR="001C77E6" w:rsidRPr="003275E0" w:rsidRDefault="001C77E6" w:rsidP="00CB3CFE">
            <w:pPr>
              <w:spacing w:after="120"/>
              <w:jc w:val="both"/>
              <w:rPr>
                <w:b/>
                <w:bCs/>
                <w:sz w:val="18"/>
                <w:szCs w:val="18"/>
                <w:lang w:val="en-US"/>
              </w:rPr>
            </w:pPr>
          </w:p>
        </w:tc>
      </w:tr>
      <w:tr w:rsidR="00E7120B" w:rsidRPr="00C1701A" w14:paraId="5934150E" w14:textId="77777777" w:rsidTr="009302F5">
        <w:tc>
          <w:tcPr>
            <w:tcW w:w="481" w:type="dxa"/>
            <w:vAlign w:val="center"/>
          </w:tcPr>
          <w:p w14:paraId="193DF5A5" w14:textId="77777777" w:rsidR="00E7120B" w:rsidRPr="003275E0" w:rsidRDefault="00E7120B"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79058AA9" w14:textId="3A226992" w:rsidR="00E7120B" w:rsidRPr="003275E0" w:rsidRDefault="00E7120B" w:rsidP="00CB3CFE">
            <w:pPr>
              <w:spacing w:after="120"/>
              <w:jc w:val="both"/>
              <w:rPr>
                <w:sz w:val="18"/>
                <w:szCs w:val="18"/>
                <w:lang w:val="en-US"/>
              </w:rPr>
            </w:pPr>
            <w:r w:rsidRPr="003275E0">
              <w:rPr>
                <w:sz w:val="18"/>
                <w:szCs w:val="18"/>
                <w:lang w:val="en-US"/>
              </w:rPr>
              <w:t>Applicant has no</w:t>
            </w:r>
            <w:r>
              <w:rPr>
                <w:sz w:val="18"/>
                <w:szCs w:val="18"/>
                <w:lang w:val="en-US"/>
              </w:rPr>
              <w:t xml:space="preserve"> </w:t>
            </w:r>
            <w:r w:rsidR="002E1685" w:rsidRPr="002E1685">
              <w:rPr>
                <w:sz w:val="18"/>
                <w:szCs w:val="18"/>
                <w:lang w:val="en-US"/>
              </w:rPr>
              <w:t>conflicts of interest with UNDP Moldova or CNED</w:t>
            </w:r>
          </w:p>
        </w:tc>
        <w:tc>
          <w:tcPr>
            <w:tcW w:w="800" w:type="dxa"/>
          </w:tcPr>
          <w:p w14:paraId="64A57FC9" w14:textId="77777777" w:rsidR="00E7120B" w:rsidRPr="003275E0" w:rsidRDefault="00E7120B" w:rsidP="00CB3CFE">
            <w:pPr>
              <w:spacing w:after="120"/>
              <w:jc w:val="both"/>
              <w:rPr>
                <w:b/>
                <w:bCs/>
                <w:sz w:val="18"/>
                <w:szCs w:val="18"/>
                <w:lang w:val="en-US"/>
              </w:rPr>
            </w:pPr>
          </w:p>
        </w:tc>
        <w:tc>
          <w:tcPr>
            <w:tcW w:w="822" w:type="dxa"/>
          </w:tcPr>
          <w:p w14:paraId="3C242EBE" w14:textId="77777777" w:rsidR="00E7120B" w:rsidRPr="003275E0" w:rsidRDefault="00E7120B" w:rsidP="00CB3CFE">
            <w:pPr>
              <w:spacing w:after="120"/>
              <w:jc w:val="both"/>
              <w:rPr>
                <w:b/>
                <w:bCs/>
                <w:sz w:val="18"/>
                <w:szCs w:val="18"/>
                <w:lang w:val="en-US"/>
              </w:rPr>
            </w:pPr>
          </w:p>
        </w:tc>
        <w:tc>
          <w:tcPr>
            <w:tcW w:w="1828" w:type="dxa"/>
          </w:tcPr>
          <w:p w14:paraId="5321F801" w14:textId="77777777" w:rsidR="00E7120B" w:rsidRPr="003275E0" w:rsidRDefault="00E7120B" w:rsidP="00CB3CFE">
            <w:pPr>
              <w:spacing w:after="120"/>
              <w:jc w:val="both"/>
              <w:rPr>
                <w:b/>
                <w:bCs/>
                <w:sz w:val="18"/>
                <w:szCs w:val="18"/>
                <w:lang w:val="en-US"/>
              </w:rPr>
            </w:pPr>
          </w:p>
        </w:tc>
      </w:tr>
      <w:tr w:rsidR="002E2BE3" w:rsidRPr="00C1701A" w14:paraId="40555864" w14:textId="77777777" w:rsidTr="009302F5">
        <w:tc>
          <w:tcPr>
            <w:tcW w:w="481" w:type="dxa"/>
            <w:vAlign w:val="center"/>
          </w:tcPr>
          <w:p w14:paraId="7E94DECB" w14:textId="4B202544"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30340E81" w14:textId="00BAF571" w:rsidR="001C77E6" w:rsidRPr="003275E0" w:rsidRDefault="001C77E6" w:rsidP="00CB3CFE">
            <w:pPr>
              <w:spacing w:after="120"/>
              <w:jc w:val="both"/>
              <w:rPr>
                <w:b/>
                <w:bCs/>
                <w:sz w:val="18"/>
                <w:szCs w:val="18"/>
                <w:lang w:val="en-US"/>
              </w:rPr>
            </w:pPr>
            <w:proofErr w:type="gramStart"/>
            <w:r w:rsidRPr="003275E0">
              <w:rPr>
                <w:sz w:val="18"/>
                <w:szCs w:val="18"/>
                <w:lang w:val="en-US"/>
              </w:rPr>
              <w:t>Applicant has</w:t>
            </w:r>
            <w:proofErr w:type="gramEnd"/>
            <w:r w:rsidRPr="003275E0">
              <w:rPr>
                <w:sz w:val="18"/>
                <w:szCs w:val="18"/>
                <w:lang w:val="en-US"/>
              </w:rPr>
              <w:t xml:space="preserve"> not conducted an energy audit in the last four years (in line with Law No. 139/2018 and CNED requirements)</w:t>
            </w:r>
          </w:p>
        </w:tc>
        <w:tc>
          <w:tcPr>
            <w:tcW w:w="800" w:type="dxa"/>
          </w:tcPr>
          <w:p w14:paraId="581D2EF9" w14:textId="77777777" w:rsidR="001C77E6" w:rsidRPr="003275E0" w:rsidRDefault="001C77E6" w:rsidP="00CB3CFE">
            <w:pPr>
              <w:spacing w:after="120"/>
              <w:jc w:val="both"/>
              <w:rPr>
                <w:b/>
                <w:bCs/>
                <w:sz w:val="18"/>
                <w:szCs w:val="18"/>
                <w:lang w:val="en-US"/>
              </w:rPr>
            </w:pPr>
          </w:p>
        </w:tc>
        <w:tc>
          <w:tcPr>
            <w:tcW w:w="822" w:type="dxa"/>
          </w:tcPr>
          <w:p w14:paraId="729FE490" w14:textId="77777777" w:rsidR="001C77E6" w:rsidRPr="003275E0" w:rsidRDefault="001C77E6" w:rsidP="00CB3CFE">
            <w:pPr>
              <w:spacing w:after="120"/>
              <w:jc w:val="both"/>
              <w:rPr>
                <w:b/>
                <w:bCs/>
                <w:sz w:val="18"/>
                <w:szCs w:val="18"/>
                <w:lang w:val="en-US"/>
              </w:rPr>
            </w:pPr>
          </w:p>
        </w:tc>
        <w:tc>
          <w:tcPr>
            <w:tcW w:w="1828" w:type="dxa"/>
          </w:tcPr>
          <w:p w14:paraId="7B106DE8" w14:textId="77777777" w:rsidR="001C77E6" w:rsidRPr="003275E0" w:rsidRDefault="001C77E6" w:rsidP="00CB3CFE">
            <w:pPr>
              <w:spacing w:after="120"/>
              <w:jc w:val="both"/>
              <w:rPr>
                <w:b/>
                <w:bCs/>
                <w:sz w:val="18"/>
                <w:szCs w:val="18"/>
                <w:lang w:val="en-US"/>
              </w:rPr>
            </w:pPr>
          </w:p>
        </w:tc>
      </w:tr>
      <w:tr w:rsidR="002E2BE3" w:rsidRPr="00C1701A" w14:paraId="486D21C2" w14:textId="77777777" w:rsidTr="009302F5">
        <w:tc>
          <w:tcPr>
            <w:tcW w:w="481" w:type="dxa"/>
            <w:vAlign w:val="center"/>
          </w:tcPr>
          <w:p w14:paraId="252CB897" w14:textId="2B427CF8"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3FB23E8A" w14:textId="1F66A268" w:rsidR="001C77E6" w:rsidRPr="003275E0" w:rsidRDefault="001C77E6" w:rsidP="00CB3CFE">
            <w:pPr>
              <w:spacing w:after="120"/>
              <w:jc w:val="both"/>
              <w:rPr>
                <w:b/>
                <w:bCs/>
                <w:sz w:val="18"/>
                <w:szCs w:val="18"/>
                <w:lang w:val="en-US"/>
              </w:rPr>
            </w:pPr>
            <w:r w:rsidRPr="003275E0">
              <w:rPr>
                <w:sz w:val="18"/>
                <w:szCs w:val="18"/>
                <w:lang w:val="en-US"/>
              </w:rPr>
              <w:t>Applicant has not implemented an energy/environmental management system (ISO 50001 / ISO 14001 or equivalent)</w:t>
            </w:r>
          </w:p>
        </w:tc>
        <w:tc>
          <w:tcPr>
            <w:tcW w:w="800" w:type="dxa"/>
          </w:tcPr>
          <w:p w14:paraId="34160B20" w14:textId="77777777" w:rsidR="001C77E6" w:rsidRPr="003275E0" w:rsidRDefault="001C77E6" w:rsidP="00CB3CFE">
            <w:pPr>
              <w:spacing w:after="120"/>
              <w:jc w:val="both"/>
              <w:rPr>
                <w:b/>
                <w:bCs/>
                <w:sz w:val="18"/>
                <w:szCs w:val="18"/>
                <w:lang w:val="en-US"/>
              </w:rPr>
            </w:pPr>
          </w:p>
        </w:tc>
        <w:tc>
          <w:tcPr>
            <w:tcW w:w="822" w:type="dxa"/>
          </w:tcPr>
          <w:p w14:paraId="4CB5A00B" w14:textId="77777777" w:rsidR="001C77E6" w:rsidRPr="003275E0" w:rsidRDefault="001C77E6" w:rsidP="00CB3CFE">
            <w:pPr>
              <w:spacing w:after="120"/>
              <w:jc w:val="both"/>
              <w:rPr>
                <w:b/>
                <w:bCs/>
                <w:sz w:val="18"/>
                <w:szCs w:val="18"/>
                <w:lang w:val="en-US"/>
              </w:rPr>
            </w:pPr>
          </w:p>
        </w:tc>
        <w:tc>
          <w:tcPr>
            <w:tcW w:w="1828" w:type="dxa"/>
          </w:tcPr>
          <w:p w14:paraId="6EC9A288" w14:textId="77777777" w:rsidR="001C77E6" w:rsidRPr="003275E0" w:rsidRDefault="001C77E6" w:rsidP="00CB3CFE">
            <w:pPr>
              <w:spacing w:after="120"/>
              <w:jc w:val="both"/>
              <w:rPr>
                <w:b/>
                <w:bCs/>
                <w:sz w:val="18"/>
                <w:szCs w:val="18"/>
                <w:lang w:val="en-US"/>
              </w:rPr>
            </w:pPr>
          </w:p>
        </w:tc>
      </w:tr>
      <w:tr w:rsidR="008828C4" w:rsidRPr="00C1701A" w14:paraId="074FCCC4" w14:textId="77777777" w:rsidTr="00E7120B">
        <w:tc>
          <w:tcPr>
            <w:tcW w:w="481" w:type="dxa"/>
            <w:vAlign w:val="center"/>
          </w:tcPr>
          <w:p w14:paraId="3D555293" w14:textId="77777777" w:rsidR="008828C4" w:rsidRPr="003275E0" w:rsidRDefault="008828C4"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0D4DA0FB" w14:textId="53054AAF" w:rsidR="008828C4" w:rsidRPr="003275E0" w:rsidRDefault="00394361" w:rsidP="00CB3CFE">
            <w:pPr>
              <w:spacing w:after="120"/>
              <w:jc w:val="both"/>
              <w:rPr>
                <w:sz w:val="18"/>
                <w:szCs w:val="18"/>
                <w:lang w:val="en-US"/>
              </w:rPr>
            </w:pPr>
            <w:proofErr w:type="gramStart"/>
            <w:r>
              <w:rPr>
                <w:sz w:val="18"/>
                <w:szCs w:val="18"/>
                <w:lang w:val="en-US"/>
              </w:rPr>
              <w:t>Applicant has</w:t>
            </w:r>
            <w:proofErr w:type="gramEnd"/>
            <w:r>
              <w:rPr>
                <w:sz w:val="18"/>
                <w:szCs w:val="18"/>
                <w:lang w:val="en-US"/>
              </w:rPr>
              <w:t xml:space="preserve"> not </w:t>
            </w:r>
            <w:r w:rsidR="00E83C3A" w:rsidRPr="00E83C3A">
              <w:rPr>
                <w:sz w:val="18"/>
                <w:szCs w:val="18"/>
                <w:lang w:val="en-US"/>
              </w:rPr>
              <w:t>benefited from other public or donor-funded support specifically for the same mandatory energy audit activity (as per CNED notification requirements)</w:t>
            </w:r>
          </w:p>
        </w:tc>
        <w:tc>
          <w:tcPr>
            <w:tcW w:w="800" w:type="dxa"/>
          </w:tcPr>
          <w:p w14:paraId="76256CE9" w14:textId="77777777" w:rsidR="008828C4" w:rsidRPr="003275E0" w:rsidRDefault="008828C4" w:rsidP="00CB3CFE">
            <w:pPr>
              <w:spacing w:after="120"/>
              <w:jc w:val="both"/>
              <w:rPr>
                <w:b/>
                <w:bCs/>
                <w:sz w:val="18"/>
                <w:szCs w:val="18"/>
                <w:lang w:val="en-US"/>
              </w:rPr>
            </w:pPr>
          </w:p>
        </w:tc>
        <w:tc>
          <w:tcPr>
            <w:tcW w:w="822" w:type="dxa"/>
          </w:tcPr>
          <w:p w14:paraId="14D01B89" w14:textId="77777777" w:rsidR="008828C4" w:rsidRPr="003275E0" w:rsidRDefault="008828C4" w:rsidP="00CB3CFE">
            <w:pPr>
              <w:spacing w:after="120"/>
              <w:jc w:val="both"/>
              <w:rPr>
                <w:b/>
                <w:bCs/>
                <w:sz w:val="18"/>
                <w:szCs w:val="18"/>
                <w:lang w:val="en-US"/>
              </w:rPr>
            </w:pPr>
          </w:p>
        </w:tc>
        <w:tc>
          <w:tcPr>
            <w:tcW w:w="1828" w:type="dxa"/>
          </w:tcPr>
          <w:p w14:paraId="0EBD1809" w14:textId="77777777" w:rsidR="008828C4" w:rsidRPr="003275E0" w:rsidRDefault="008828C4" w:rsidP="00CB3CFE">
            <w:pPr>
              <w:spacing w:after="120"/>
              <w:jc w:val="both"/>
              <w:rPr>
                <w:b/>
                <w:bCs/>
                <w:sz w:val="18"/>
                <w:szCs w:val="18"/>
                <w:lang w:val="en-US"/>
              </w:rPr>
            </w:pPr>
          </w:p>
        </w:tc>
      </w:tr>
      <w:tr w:rsidR="003152F2" w:rsidRPr="00C1701A" w14:paraId="396D5065" w14:textId="77777777" w:rsidTr="00E7120B">
        <w:tc>
          <w:tcPr>
            <w:tcW w:w="481" w:type="dxa"/>
            <w:vAlign w:val="center"/>
          </w:tcPr>
          <w:p w14:paraId="2ECC4A4A" w14:textId="77777777" w:rsidR="003152F2" w:rsidRPr="003275E0" w:rsidRDefault="003152F2"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6E4ABD24" w14:textId="3B21AFA4" w:rsidR="003152F2" w:rsidRDefault="003152F2" w:rsidP="00CB3CFE">
            <w:pPr>
              <w:spacing w:after="120"/>
              <w:jc w:val="both"/>
              <w:rPr>
                <w:sz w:val="18"/>
                <w:szCs w:val="18"/>
                <w:lang w:val="en-US"/>
              </w:rPr>
            </w:pPr>
            <w:proofErr w:type="gramStart"/>
            <w:r>
              <w:rPr>
                <w:sz w:val="18"/>
                <w:szCs w:val="18"/>
                <w:lang w:val="en-US"/>
              </w:rPr>
              <w:t>Appl</w:t>
            </w:r>
            <w:r w:rsidR="00FB3595">
              <w:rPr>
                <w:sz w:val="18"/>
                <w:szCs w:val="18"/>
                <w:lang w:val="en-US"/>
              </w:rPr>
              <w:t>icant has</w:t>
            </w:r>
            <w:proofErr w:type="gramEnd"/>
            <w:r w:rsidR="00FB3595">
              <w:rPr>
                <w:sz w:val="18"/>
                <w:szCs w:val="18"/>
                <w:lang w:val="en-US"/>
              </w:rPr>
              <w:t xml:space="preserve"> not </w:t>
            </w:r>
            <w:r w:rsidR="00FB3595" w:rsidRPr="00FB3595">
              <w:rPr>
                <w:sz w:val="18"/>
                <w:szCs w:val="18"/>
                <w:lang w:val="en-US"/>
              </w:rPr>
              <w:t>been sanctioned for corruption, fraud, misuse of public funds, or similar offenses</w:t>
            </w:r>
          </w:p>
        </w:tc>
        <w:tc>
          <w:tcPr>
            <w:tcW w:w="800" w:type="dxa"/>
          </w:tcPr>
          <w:p w14:paraId="4446FA20" w14:textId="77777777" w:rsidR="003152F2" w:rsidRPr="003275E0" w:rsidRDefault="003152F2" w:rsidP="00CB3CFE">
            <w:pPr>
              <w:spacing w:after="120"/>
              <w:jc w:val="both"/>
              <w:rPr>
                <w:b/>
                <w:bCs/>
                <w:sz w:val="18"/>
                <w:szCs w:val="18"/>
                <w:lang w:val="en-US"/>
              </w:rPr>
            </w:pPr>
          </w:p>
        </w:tc>
        <w:tc>
          <w:tcPr>
            <w:tcW w:w="822" w:type="dxa"/>
          </w:tcPr>
          <w:p w14:paraId="71F674C4" w14:textId="77777777" w:rsidR="003152F2" w:rsidRPr="003275E0" w:rsidRDefault="003152F2" w:rsidP="00CB3CFE">
            <w:pPr>
              <w:spacing w:after="120"/>
              <w:jc w:val="both"/>
              <w:rPr>
                <w:b/>
                <w:bCs/>
                <w:sz w:val="18"/>
                <w:szCs w:val="18"/>
                <w:lang w:val="en-US"/>
              </w:rPr>
            </w:pPr>
          </w:p>
        </w:tc>
        <w:tc>
          <w:tcPr>
            <w:tcW w:w="1828" w:type="dxa"/>
          </w:tcPr>
          <w:p w14:paraId="16EA6690" w14:textId="77777777" w:rsidR="003152F2" w:rsidRPr="003275E0" w:rsidRDefault="003152F2" w:rsidP="00CB3CFE">
            <w:pPr>
              <w:spacing w:after="120"/>
              <w:jc w:val="both"/>
              <w:rPr>
                <w:b/>
                <w:bCs/>
                <w:sz w:val="18"/>
                <w:szCs w:val="18"/>
                <w:lang w:val="en-US"/>
              </w:rPr>
            </w:pPr>
          </w:p>
        </w:tc>
      </w:tr>
      <w:tr w:rsidR="002E2BE3" w:rsidRPr="00C1701A" w14:paraId="78CE2B01" w14:textId="77777777" w:rsidTr="009302F5">
        <w:tc>
          <w:tcPr>
            <w:tcW w:w="481" w:type="dxa"/>
            <w:vAlign w:val="center"/>
          </w:tcPr>
          <w:p w14:paraId="1DB4EE1D" w14:textId="752C07EE"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411F91D2" w14:textId="3F7125A8" w:rsidR="001C77E6" w:rsidRPr="003275E0" w:rsidRDefault="001C77E6" w:rsidP="00CB3CFE">
            <w:pPr>
              <w:spacing w:after="120"/>
              <w:jc w:val="both"/>
              <w:rPr>
                <w:b/>
                <w:bCs/>
                <w:sz w:val="18"/>
                <w:szCs w:val="18"/>
                <w:lang w:val="en-US"/>
              </w:rPr>
            </w:pPr>
            <w:r w:rsidRPr="003275E0">
              <w:rPr>
                <w:sz w:val="18"/>
                <w:szCs w:val="18"/>
                <w:lang w:val="en-US"/>
              </w:rPr>
              <w:t>Applicant has concluded (or is in advanced process of concluding) a contract with a qualified energy audit provider (auditors registered in CNED Electronic Register)</w:t>
            </w:r>
          </w:p>
        </w:tc>
        <w:tc>
          <w:tcPr>
            <w:tcW w:w="800" w:type="dxa"/>
          </w:tcPr>
          <w:p w14:paraId="732A0379" w14:textId="77777777" w:rsidR="001C77E6" w:rsidRPr="003275E0" w:rsidRDefault="001C77E6" w:rsidP="00CB3CFE">
            <w:pPr>
              <w:spacing w:after="120"/>
              <w:jc w:val="both"/>
              <w:rPr>
                <w:b/>
                <w:bCs/>
                <w:sz w:val="18"/>
                <w:szCs w:val="18"/>
                <w:lang w:val="en-US"/>
              </w:rPr>
            </w:pPr>
          </w:p>
        </w:tc>
        <w:tc>
          <w:tcPr>
            <w:tcW w:w="822" w:type="dxa"/>
          </w:tcPr>
          <w:p w14:paraId="2DD41F29" w14:textId="77777777" w:rsidR="001C77E6" w:rsidRPr="003275E0" w:rsidRDefault="001C77E6" w:rsidP="00CB3CFE">
            <w:pPr>
              <w:spacing w:after="120"/>
              <w:jc w:val="both"/>
              <w:rPr>
                <w:b/>
                <w:bCs/>
                <w:sz w:val="18"/>
                <w:szCs w:val="18"/>
                <w:lang w:val="en-US"/>
              </w:rPr>
            </w:pPr>
          </w:p>
        </w:tc>
        <w:tc>
          <w:tcPr>
            <w:tcW w:w="1828" w:type="dxa"/>
          </w:tcPr>
          <w:p w14:paraId="3DBC3871" w14:textId="77777777" w:rsidR="001C77E6" w:rsidRPr="003275E0" w:rsidRDefault="001C77E6" w:rsidP="00CB3CFE">
            <w:pPr>
              <w:spacing w:after="120"/>
              <w:jc w:val="both"/>
              <w:rPr>
                <w:b/>
                <w:bCs/>
                <w:sz w:val="18"/>
                <w:szCs w:val="18"/>
                <w:lang w:val="en-US"/>
              </w:rPr>
            </w:pPr>
          </w:p>
        </w:tc>
      </w:tr>
      <w:tr w:rsidR="002E2BE3" w:rsidRPr="00C1701A" w14:paraId="2B262308" w14:textId="77777777" w:rsidTr="00514A1A">
        <w:trPr>
          <w:trHeight w:val="467"/>
        </w:trPr>
        <w:tc>
          <w:tcPr>
            <w:tcW w:w="481" w:type="dxa"/>
            <w:vAlign w:val="center"/>
          </w:tcPr>
          <w:p w14:paraId="1854AB0B" w14:textId="6E201443"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03328B35" w14:textId="72BE7402" w:rsidR="001C77E6" w:rsidRPr="003275E0" w:rsidRDefault="001C77E6" w:rsidP="00CB3CFE">
            <w:pPr>
              <w:spacing w:after="120"/>
              <w:jc w:val="both"/>
              <w:rPr>
                <w:b/>
                <w:bCs/>
                <w:sz w:val="18"/>
                <w:szCs w:val="18"/>
                <w:lang w:val="en-US"/>
              </w:rPr>
            </w:pPr>
            <w:r w:rsidRPr="003275E0">
              <w:rPr>
                <w:sz w:val="18"/>
                <w:szCs w:val="18"/>
                <w:lang w:val="en-US"/>
              </w:rPr>
              <w:t>Applicant confirms active participation in the audit process (access to data/premises, designation of focal point)</w:t>
            </w:r>
          </w:p>
        </w:tc>
        <w:tc>
          <w:tcPr>
            <w:tcW w:w="800" w:type="dxa"/>
          </w:tcPr>
          <w:p w14:paraId="45132B4C" w14:textId="77777777" w:rsidR="001C77E6" w:rsidRPr="003275E0" w:rsidRDefault="001C77E6" w:rsidP="00CB3CFE">
            <w:pPr>
              <w:spacing w:after="120"/>
              <w:jc w:val="both"/>
              <w:rPr>
                <w:b/>
                <w:bCs/>
                <w:sz w:val="18"/>
                <w:szCs w:val="18"/>
                <w:lang w:val="en-US"/>
              </w:rPr>
            </w:pPr>
          </w:p>
        </w:tc>
        <w:tc>
          <w:tcPr>
            <w:tcW w:w="822" w:type="dxa"/>
          </w:tcPr>
          <w:p w14:paraId="0B70E18D" w14:textId="77777777" w:rsidR="001C77E6" w:rsidRPr="003275E0" w:rsidRDefault="001C77E6" w:rsidP="00CB3CFE">
            <w:pPr>
              <w:spacing w:after="120"/>
              <w:jc w:val="both"/>
              <w:rPr>
                <w:b/>
                <w:bCs/>
                <w:sz w:val="18"/>
                <w:szCs w:val="18"/>
                <w:lang w:val="en-US"/>
              </w:rPr>
            </w:pPr>
          </w:p>
        </w:tc>
        <w:tc>
          <w:tcPr>
            <w:tcW w:w="1828" w:type="dxa"/>
          </w:tcPr>
          <w:p w14:paraId="048987A9" w14:textId="77777777" w:rsidR="001C77E6" w:rsidRPr="003275E0" w:rsidRDefault="001C77E6" w:rsidP="00CB3CFE">
            <w:pPr>
              <w:spacing w:after="120"/>
              <w:jc w:val="both"/>
              <w:rPr>
                <w:b/>
                <w:bCs/>
                <w:sz w:val="18"/>
                <w:szCs w:val="18"/>
                <w:lang w:val="en-US"/>
              </w:rPr>
            </w:pPr>
          </w:p>
        </w:tc>
      </w:tr>
      <w:tr w:rsidR="002E2BE3" w:rsidRPr="00C1701A" w14:paraId="6E137ACC" w14:textId="77777777" w:rsidTr="009302F5">
        <w:tc>
          <w:tcPr>
            <w:tcW w:w="481" w:type="dxa"/>
            <w:vAlign w:val="center"/>
          </w:tcPr>
          <w:p w14:paraId="711AAC11" w14:textId="6DB9B5CB"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2747F0ED" w14:textId="7801E37C" w:rsidR="001C77E6" w:rsidRPr="003275E0" w:rsidRDefault="001C77E6" w:rsidP="00CB3CFE">
            <w:pPr>
              <w:spacing w:after="120"/>
              <w:jc w:val="both"/>
              <w:rPr>
                <w:b/>
                <w:bCs/>
                <w:sz w:val="18"/>
                <w:szCs w:val="18"/>
                <w:lang w:val="en-US"/>
              </w:rPr>
            </w:pPr>
            <w:r w:rsidRPr="003275E0">
              <w:rPr>
                <w:sz w:val="18"/>
                <w:szCs w:val="18"/>
                <w:lang w:val="en-US"/>
              </w:rPr>
              <w:t xml:space="preserve">Applicant commits to </w:t>
            </w:r>
            <w:proofErr w:type="gramStart"/>
            <w:r w:rsidRPr="003275E0">
              <w:rPr>
                <w:sz w:val="18"/>
                <w:szCs w:val="18"/>
                <w:lang w:val="en-US"/>
              </w:rPr>
              <w:t>submit</w:t>
            </w:r>
            <w:proofErr w:type="gramEnd"/>
            <w:r w:rsidRPr="003275E0">
              <w:rPr>
                <w:sz w:val="18"/>
                <w:szCs w:val="18"/>
                <w:lang w:val="en-US"/>
              </w:rPr>
              <w:t xml:space="preserve"> the audit report to CNED for validation (prerequisite for UNDP </w:t>
            </w:r>
            <w:r w:rsidR="00B745B1">
              <w:rPr>
                <w:sz w:val="18"/>
                <w:szCs w:val="18"/>
                <w:lang w:val="en-US"/>
              </w:rPr>
              <w:t>perfo</w:t>
            </w:r>
            <w:r w:rsidR="006017A0">
              <w:rPr>
                <w:sz w:val="18"/>
                <w:szCs w:val="18"/>
                <w:lang w:val="en-US"/>
              </w:rPr>
              <w:t>r</w:t>
            </w:r>
            <w:r w:rsidR="00B745B1">
              <w:rPr>
                <w:sz w:val="18"/>
                <w:szCs w:val="18"/>
                <w:lang w:val="en-US"/>
              </w:rPr>
              <w:t>mance-based payment</w:t>
            </w:r>
            <w:r w:rsidRPr="003275E0">
              <w:rPr>
                <w:sz w:val="18"/>
                <w:szCs w:val="18"/>
                <w:lang w:val="en-US"/>
              </w:rPr>
              <w:t>)</w:t>
            </w:r>
          </w:p>
        </w:tc>
        <w:tc>
          <w:tcPr>
            <w:tcW w:w="800" w:type="dxa"/>
          </w:tcPr>
          <w:p w14:paraId="0DF28B8B" w14:textId="77777777" w:rsidR="001C77E6" w:rsidRPr="003275E0" w:rsidRDefault="001C77E6" w:rsidP="00CB3CFE">
            <w:pPr>
              <w:spacing w:after="120"/>
              <w:jc w:val="both"/>
              <w:rPr>
                <w:b/>
                <w:bCs/>
                <w:sz w:val="18"/>
                <w:szCs w:val="18"/>
                <w:lang w:val="en-US"/>
              </w:rPr>
            </w:pPr>
          </w:p>
        </w:tc>
        <w:tc>
          <w:tcPr>
            <w:tcW w:w="822" w:type="dxa"/>
          </w:tcPr>
          <w:p w14:paraId="2CE00600" w14:textId="77777777" w:rsidR="001C77E6" w:rsidRPr="003275E0" w:rsidRDefault="001C77E6" w:rsidP="00CB3CFE">
            <w:pPr>
              <w:spacing w:after="120"/>
              <w:jc w:val="both"/>
              <w:rPr>
                <w:b/>
                <w:bCs/>
                <w:sz w:val="18"/>
                <w:szCs w:val="18"/>
                <w:lang w:val="en-US"/>
              </w:rPr>
            </w:pPr>
          </w:p>
        </w:tc>
        <w:tc>
          <w:tcPr>
            <w:tcW w:w="1828" w:type="dxa"/>
          </w:tcPr>
          <w:p w14:paraId="2952F1D0" w14:textId="77777777" w:rsidR="001C77E6" w:rsidRPr="003275E0" w:rsidRDefault="001C77E6" w:rsidP="00CB3CFE">
            <w:pPr>
              <w:spacing w:after="120"/>
              <w:jc w:val="both"/>
              <w:rPr>
                <w:b/>
                <w:bCs/>
                <w:sz w:val="18"/>
                <w:szCs w:val="18"/>
                <w:lang w:val="en-US"/>
              </w:rPr>
            </w:pPr>
          </w:p>
        </w:tc>
      </w:tr>
      <w:tr w:rsidR="002E2BE3" w:rsidRPr="00C1701A" w14:paraId="0D97BB3A" w14:textId="77777777" w:rsidTr="009302F5">
        <w:tc>
          <w:tcPr>
            <w:tcW w:w="481" w:type="dxa"/>
            <w:vAlign w:val="center"/>
          </w:tcPr>
          <w:p w14:paraId="7C5AD3D3" w14:textId="357D784D" w:rsidR="001C77E6" w:rsidRPr="003275E0" w:rsidRDefault="001C77E6" w:rsidP="00CB3CFE">
            <w:pPr>
              <w:pStyle w:val="ListParagraph"/>
              <w:numPr>
                <w:ilvl w:val="0"/>
                <w:numId w:val="16"/>
              </w:numPr>
              <w:spacing w:after="120"/>
              <w:ind w:left="-28" w:firstLine="0"/>
              <w:jc w:val="both"/>
              <w:rPr>
                <w:b/>
                <w:bCs/>
                <w:sz w:val="18"/>
                <w:szCs w:val="18"/>
                <w:lang w:val="en-US"/>
              </w:rPr>
            </w:pPr>
          </w:p>
        </w:tc>
        <w:tc>
          <w:tcPr>
            <w:tcW w:w="5419" w:type="dxa"/>
            <w:vAlign w:val="center"/>
          </w:tcPr>
          <w:p w14:paraId="437D3F43" w14:textId="271590A9" w:rsidR="001C77E6" w:rsidRPr="003275E0" w:rsidRDefault="001C77E6" w:rsidP="00CB3CFE">
            <w:pPr>
              <w:spacing w:after="120"/>
              <w:jc w:val="both"/>
              <w:rPr>
                <w:b/>
                <w:bCs/>
                <w:sz w:val="18"/>
                <w:szCs w:val="18"/>
                <w:lang w:val="en-US"/>
              </w:rPr>
            </w:pPr>
            <w:r w:rsidRPr="003275E0">
              <w:rPr>
                <w:sz w:val="18"/>
                <w:szCs w:val="18"/>
                <w:lang w:val="en-US"/>
              </w:rPr>
              <w:t>Application file is complete and submitted within the deadline</w:t>
            </w:r>
          </w:p>
        </w:tc>
        <w:tc>
          <w:tcPr>
            <w:tcW w:w="800" w:type="dxa"/>
          </w:tcPr>
          <w:p w14:paraId="36F0BFB0" w14:textId="77777777" w:rsidR="001C77E6" w:rsidRPr="003275E0" w:rsidRDefault="001C77E6" w:rsidP="00CB3CFE">
            <w:pPr>
              <w:spacing w:after="120"/>
              <w:jc w:val="both"/>
              <w:rPr>
                <w:b/>
                <w:bCs/>
                <w:sz w:val="18"/>
                <w:szCs w:val="18"/>
                <w:lang w:val="en-US"/>
              </w:rPr>
            </w:pPr>
          </w:p>
        </w:tc>
        <w:tc>
          <w:tcPr>
            <w:tcW w:w="822" w:type="dxa"/>
          </w:tcPr>
          <w:p w14:paraId="4CF68E51" w14:textId="77777777" w:rsidR="001C77E6" w:rsidRPr="003275E0" w:rsidRDefault="001C77E6" w:rsidP="00CB3CFE">
            <w:pPr>
              <w:spacing w:after="120"/>
              <w:jc w:val="both"/>
              <w:rPr>
                <w:b/>
                <w:bCs/>
                <w:sz w:val="18"/>
                <w:szCs w:val="18"/>
                <w:lang w:val="en-US"/>
              </w:rPr>
            </w:pPr>
          </w:p>
        </w:tc>
        <w:tc>
          <w:tcPr>
            <w:tcW w:w="1828" w:type="dxa"/>
          </w:tcPr>
          <w:p w14:paraId="29BE88ED" w14:textId="77777777" w:rsidR="001C77E6" w:rsidRPr="003275E0" w:rsidRDefault="001C77E6" w:rsidP="00CB3CFE">
            <w:pPr>
              <w:spacing w:after="120"/>
              <w:jc w:val="both"/>
              <w:rPr>
                <w:b/>
                <w:bCs/>
                <w:sz w:val="18"/>
                <w:szCs w:val="18"/>
                <w:lang w:val="en-US"/>
              </w:rPr>
            </w:pPr>
          </w:p>
        </w:tc>
      </w:tr>
      <w:tr w:rsidR="30E9E5A7" w:rsidRPr="00C1701A" w14:paraId="385A4BBC" w14:textId="77777777" w:rsidTr="30E9E5A7">
        <w:trPr>
          <w:trHeight w:val="300"/>
        </w:trPr>
        <w:tc>
          <w:tcPr>
            <w:tcW w:w="481" w:type="dxa"/>
            <w:vAlign w:val="center"/>
          </w:tcPr>
          <w:p w14:paraId="1F92082B" w14:textId="00EDD75E" w:rsidR="5E830064" w:rsidRDefault="5E830064" w:rsidP="00514A1A">
            <w:pPr>
              <w:jc w:val="both"/>
              <w:rPr>
                <w:b/>
                <w:bCs/>
                <w:sz w:val="18"/>
                <w:szCs w:val="18"/>
                <w:lang w:val="en-US"/>
              </w:rPr>
            </w:pPr>
            <w:r w:rsidRPr="30E9E5A7">
              <w:rPr>
                <w:b/>
                <w:bCs/>
                <w:sz w:val="18"/>
                <w:szCs w:val="18"/>
                <w:lang w:val="en-US"/>
              </w:rPr>
              <w:t>14.</w:t>
            </w:r>
          </w:p>
        </w:tc>
        <w:tc>
          <w:tcPr>
            <w:tcW w:w="5419" w:type="dxa"/>
            <w:vAlign w:val="center"/>
          </w:tcPr>
          <w:p w14:paraId="1709FB73" w14:textId="1EB65BA5" w:rsidR="22AA2A26" w:rsidRDefault="22AA2A26" w:rsidP="00514A1A">
            <w:pPr>
              <w:jc w:val="both"/>
              <w:rPr>
                <w:rFonts w:eastAsia="Times New Roman" w:cs="Times New Roman"/>
                <w:sz w:val="18"/>
                <w:szCs w:val="18"/>
                <w:lang w:val="en-US"/>
              </w:rPr>
            </w:pPr>
            <w:r w:rsidRPr="00514A1A">
              <w:rPr>
                <w:rFonts w:eastAsia="Times New Roman" w:cs="Times New Roman"/>
                <w:sz w:val="18"/>
                <w:szCs w:val="18"/>
                <w:lang w:val="en-US"/>
              </w:rPr>
              <w:t>Acknowledge receipt of the official CNED notification regarding the mandatory energy audit obligation (pursuant to Article 19 of Law No. 139/2018 and the CNED Order no. 60/AB of 30 December 2025)</w:t>
            </w:r>
          </w:p>
        </w:tc>
        <w:tc>
          <w:tcPr>
            <w:tcW w:w="800" w:type="dxa"/>
          </w:tcPr>
          <w:p w14:paraId="351756C1" w14:textId="41F84CCB" w:rsidR="30E9E5A7" w:rsidRDefault="30E9E5A7" w:rsidP="30E9E5A7">
            <w:pPr>
              <w:jc w:val="both"/>
              <w:rPr>
                <w:b/>
                <w:bCs/>
                <w:sz w:val="18"/>
                <w:szCs w:val="18"/>
                <w:lang w:val="en-US"/>
              </w:rPr>
            </w:pPr>
          </w:p>
        </w:tc>
        <w:tc>
          <w:tcPr>
            <w:tcW w:w="822" w:type="dxa"/>
          </w:tcPr>
          <w:p w14:paraId="04087294" w14:textId="1CF0DCEE" w:rsidR="30E9E5A7" w:rsidRDefault="30E9E5A7" w:rsidP="30E9E5A7">
            <w:pPr>
              <w:jc w:val="both"/>
              <w:rPr>
                <w:b/>
                <w:bCs/>
                <w:sz w:val="18"/>
                <w:szCs w:val="18"/>
                <w:lang w:val="en-US"/>
              </w:rPr>
            </w:pPr>
          </w:p>
        </w:tc>
        <w:tc>
          <w:tcPr>
            <w:tcW w:w="1828" w:type="dxa"/>
          </w:tcPr>
          <w:p w14:paraId="2F8D9329" w14:textId="7D0ED5D9" w:rsidR="30E9E5A7" w:rsidRDefault="30E9E5A7" w:rsidP="30E9E5A7">
            <w:pPr>
              <w:jc w:val="both"/>
              <w:rPr>
                <w:b/>
                <w:bCs/>
                <w:sz w:val="18"/>
                <w:szCs w:val="18"/>
                <w:lang w:val="en-US"/>
              </w:rPr>
            </w:pPr>
          </w:p>
        </w:tc>
      </w:tr>
      <w:tr w:rsidR="30E9E5A7" w:rsidRPr="00C1701A" w14:paraId="5E369BE0" w14:textId="77777777" w:rsidTr="30E9E5A7">
        <w:trPr>
          <w:trHeight w:val="300"/>
        </w:trPr>
        <w:tc>
          <w:tcPr>
            <w:tcW w:w="481" w:type="dxa"/>
            <w:vAlign w:val="center"/>
          </w:tcPr>
          <w:p w14:paraId="16BA830E" w14:textId="054ECCEE" w:rsidR="5E830064" w:rsidRDefault="5E830064" w:rsidP="00514A1A">
            <w:pPr>
              <w:jc w:val="both"/>
              <w:rPr>
                <w:b/>
                <w:bCs/>
                <w:sz w:val="18"/>
                <w:szCs w:val="18"/>
                <w:lang w:val="en-US"/>
              </w:rPr>
            </w:pPr>
            <w:r w:rsidRPr="30E9E5A7">
              <w:rPr>
                <w:b/>
                <w:bCs/>
                <w:sz w:val="18"/>
                <w:szCs w:val="18"/>
                <w:lang w:val="en-US"/>
              </w:rPr>
              <w:t>15.</w:t>
            </w:r>
          </w:p>
        </w:tc>
        <w:tc>
          <w:tcPr>
            <w:tcW w:w="5419" w:type="dxa"/>
            <w:vAlign w:val="center"/>
          </w:tcPr>
          <w:p w14:paraId="68B184B7" w14:textId="3C267E5C" w:rsidR="31294F2B" w:rsidRPr="003744FB" w:rsidRDefault="31294F2B" w:rsidP="00514A1A">
            <w:pPr>
              <w:jc w:val="both"/>
              <w:rPr>
                <w:rFonts w:eastAsia="Times New Roman" w:cs="Times New Roman"/>
                <w:sz w:val="18"/>
                <w:szCs w:val="18"/>
                <w:lang w:val="en-US"/>
              </w:rPr>
            </w:pPr>
            <w:r w:rsidRPr="003744FB">
              <w:rPr>
                <w:rFonts w:eastAsia="Times New Roman" w:cs="Times New Roman"/>
                <w:sz w:val="18"/>
                <w:szCs w:val="18"/>
                <w:lang w:val="en-US"/>
              </w:rPr>
              <w:t xml:space="preserve">Commit to conducting the energy audit in full compliance with: </w:t>
            </w:r>
          </w:p>
          <w:p w14:paraId="60FFC4D2" w14:textId="67778949" w:rsidR="31294F2B" w:rsidRPr="003744FB" w:rsidRDefault="31294F2B" w:rsidP="00514A1A">
            <w:pPr>
              <w:pStyle w:val="ListParagraph"/>
              <w:numPr>
                <w:ilvl w:val="0"/>
                <w:numId w:val="30"/>
              </w:numPr>
              <w:ind w:left="450" w:hanging="270"/>
              <w:jc w:val="both"/>
              <w:rPr>
                <w:rFonts w:eastAsia="Times New Roman" w:cs="Times New Roman"/>
                <w:sz w:val="18"/>
                <w:szCs w:val="18"/>
                <w:lang w:val="en-US"/>
              </w:rPr>
            </w:pPr>
            <w:r w:rsidRPr="003744FB">
              <w:rPr>
                <w:rFonts w:eastAsia="Times New Roman" w:cs="Times New Roman"/>
                <w:sz w:val="18"/>
                <w:szCs w:val="18"/>
                <w:lang w:val="en-US"/>
              </w:rPr>
              <w:t>Law No. 139/2018 on Energy Efficiency (as amended</w:t>
            </w:r>
            <w:proofErr w:type="gramStart"/>
            <w:r w:rsidRPr="003744FB">
              <w:rPr>
                <w:rFonts w:eastAsia="Times New Roman" w:cs="Times New Roman"/>
                <w:sz w:val="18"/>
                <w:szCs w:val="18"/>
                <w:lang w:val="en-US"/>
              </w:rPr>
              <w:t>);</w:t>
            </w:r>
            <w:proofErr w:type="gramEnd"/>
            <w:r w:rsidRPr="003744FB">
              <w:rPr>
                <w:rFonts w:eastAsia="Times New Roman" w:cs="Times New Roman"/>
                <w:sz w:val="18"/>
                <w:szCs w:val="18"/>
                <w:lang w:val="en-US"/>
              </w:rPr>
              <w:t xml:space="preserve"> </w:t>
            </w:r>
          </w:p>
          <w:p w14:paraId="57CBF46D" w14:textId="7DAE9626" w:rsidR="31294F2B" w:rsidRPr="003744FB" w:rsidRDefault="31294F2B" w:rsidP="00514A1A">
            <w:pPr>
              <w:pStyle w:val="ListParagraph"/>
              <w:numPr>
                <w:ilvl w:val="0"/>
                <w:numId w:val="30"/>
              </w:numPr>
              <w:ind w:left="450" w:hanging="270"/>
              <w:jc w:val="both"/>
              <w:rPr>
                <w:rFonts w:eastAsia="Times New Roman" w:cs="Times New Roman"/>
                <w:sz w:val="18"/>
                <w:szCs w:val="18"/>
                <w:lang w:val="en-US"/>
              </w:rPr>
            </w:pPr>
            <w:r w:rsidRPr="003744FB">
              <w:rPr>
                <w:rFonts w:eastAsia="Times New Roman" w:cs="Times New Roman"/>
                <w:sz w:val="18"/>
                <w:szCs w:val="18"/>
                <w:lang w:val="en-US"/>
              </w:rPr>
              <w:t xml:space="preserve">Government Decision No. 676/2020 on Energy Auditors and Energy </w:t>
            </w:r>
            <w:proofErr w:type="gramStart"/>
            <w:r w:rsidRPr="003744FB">
              <w:rPr>
                <w:rFonts w:eastAsia="Times New Roman" w:cs="Times New Roman"/>
                <w:sz w:val="18"/>
                <w:szCs w:val="18"/>
                <w:lang w:val="en-US"/>
              </w:rPr>
              <w:t>Auditing;</w:t>
            </w:r>
            <w:proofErr w:type="gramEnd"/>
            <w:r w:rsidRPr="003744FB">
              <w:rPr>
                <w:rFonts w:eastAsia="Times New Roman" w:cs="Times New Roman"/>
                <w:sz w:val="18"/>
                <w:szCs w:val="18"/>
                <w:lang w:val="en-US"/>
              </w:rPr>
              <w:t xml:space="preserve"> </w:t>
            </w:r>
          </w:p>
          <w:p w14:paraId="0852820E" w14:textId="1D62083B" w:rsidR="31294F2B" w:rsidRPr="003744FB" w:rsidRDefault="31294F2B" w:rsidP="00514A1A">
            <w:pPr>
              <w:pStyle w:val="ListParagraph"/>
              <w:numPr>
                <w:ilvl w:val="0"/>
                <w:numId w:val="30"/>
              </w:numPr>
              <w:ind w:left="450" w:hanging="270"/>
              <w:jc w:val="both"/>
              <w:rPr>
                <w:rFonts w:eastAsia="Times New Roman" w:cs="Times New Roman"/>
                <w:sz w:val="18"/>
                <w:szCs w:val="18"/>
                <w:lang w:val="en-US"/>
              </w:rPr>
            </w:pPr>
            <w:r w:rsidRPr="003744FB">
              <w:rPr>
                <w:rFonts w:eastAsia="Times New Roman" w:cs="Times New Roman"/>
                <w:sz w:val="18"/>
                <w:szCs w:val="18"/>
                <w:lang w:val="en-US"/>
              </w:rPr>
              <w:t>Government Decision No. 829/2024 approving the Regulation on Conducting Energy Audits by Large Enterprises (with any subsequent amendments</w:t>
            </w:r>
            <w:proofErr w:type="gramStart"/>
            <w:r w:rsidRPr="003744FB">
              <w:rPr>
                <w:rFonts w:eastAsia="Times New Roman" w:cs="Times New Roman"/>
                <w:sz w:val="18"/>
                <w:szCs w:val="18"/>
                <w:lang w:val="en-US"/>
              </w:rPr>
              <w:t>);</w:t>
            </w:r>
            <w:proofErr w:type="gramEnd"/>
            <w:r w:rsidRPr="003744FB">
              <w:rPr>
                <w:rFonts w:eastAsia="Times New Roman" w:cs="Times New Roman"/>
                <w:sz w:val="18"/>
                <w:szCs w:val="18"/>
                <w:lang w:val="en-US"/>
              </w:rPr>
              <w:t xml:space="preserve"> </w:t>
            </w:r>
          </w:p>
          <w:p w14:paraId="30D0771A" w14:textId="7173894A" w:rsidR="31294F2B" w:rsidRPr="003744FB" w:rsidRDefault="31294F2B" w:rsidP="00514A1A">
            <w:pPr>
              <w:pStyle w:val="ListParagraph"/>
              <w:numPr>
                <w:ilvl w:val="0"/>
                <w:numId w:val="30"/>
              </w:numPr>
              <w:ind w:left="450" w:hanging="270"/>
              <w:jc w:val="both"/>
              <w:rPr>
                <w:rFonts w:eastAsia="Times New Roman" w:cs="Times New Roman"/>
                <w:sz w:val="18"/>
                <w:szCs w:val="18"/>
                <w:lang w:val="en-US"/>
              </w:rPr>
            </w:pPr>
            <w:r w:rsidRPr="003744FB">
              <w:rPr>
                <w:rFonts w:eastAsia="Times New Roman" w:cs="Times New Roman"/>
                <w:sz w:val="18"/>
                <w:szCs w:val="18"/>
                <w:lang w:val="en-US"/>
              </w:rPr>
              <w:t>Relevant CNED methodological guidelines and standards (e.g., SM EN 16247 series for energy audits).</w:t>
            </w:r>
          </w:p>
        </w:tc>
        <w:tc>
          <w:tcPr>
            <w:tcW w:w="800" w:type="dxa"/>
          </w:tcPr>
          <w:p w14:paraId="3C552C3B" w14:textId="7847A9B1" w:rsidR="30E9E5A7" w:rsidRDefault="30E9E5A7" w:rsidP="30E9E5A7">
            <w:pPr>
              <w:jc w:val="both"/>
              <w:rPr>
                <w:b/>
                <w:bCs/>
                <w:sz w:val="18"/>
                <w:szCs w:val="18"/>
                <w:lang w:val="en-US"/>
              </w:rPr>
            </w:pPr>
          </w:p>
        </w:tc>
        <w:tc>
          <w:tcPr>
            <w:tcW w:w="822" w:type="dxa"/>
          </w:tcPr>
          <w:p w14:paraId="3ECB29C2" w14:textId="6181FD05" w:rsidR="30E9E5A7" w:rsidRDefault="30E9E5A7" w:rsidP="30E9E5A7">
            <w:pPr>
              <w:jc w:val="both"/>
              <w:rPr>
                <w:b/>
                <w:bCs/>
                <w:sz w:val="18"/>
                <w:szCs w:val="18"/>
                <w:lang w:val="en-US"/>
              </w:rPr>
            </w:pPr>
          </w:p>
        </w:tc>
        <w:tc>
          <w:tcPr>
            <w:tcW w:w="1828" w:type="dxa"/>
          </w:tcPr>
          <w:p w14:paraId="157EEE0C" w14:textId="3155D998" w:rsidR="30E9E5A7" w:rsidRDefault="30E9E5A7" w:rsidP="30E9E5A7">
            <w:pPr>
              <w:jc w:val="both"/>
              <w:rPr>
                <w:b/>
                <w:bCs/>
                <w:sz w:val="18"/>
                <w:szCs w:val="18"/>
                <w:lang w:val="en-US"/>
              </w:rPr>
            </w:pPr>
          </w:p>
        </w:tc>
      </w:tr>
      <w:tr w:rsidR="30E9E5A7" w:rsidRPr="00C1701A" w14:paraId="1C5122E1" w14:textId="77777777" w:rsidTr="30E9E5A7">
        <w:trPr>
          <w:trHeight w:val="300"/>
        </w:trPr>
        <w:tc>
          <w:tcPr>
            <w:tcW w:w="481" w:type="dxa"/>
            <w:vAlign w:val="center"/>
          </w:tcPr>
          <w:p w14:paraId="7E3E7094" w14:textId="35161CE6" w:rsidR="5E830064" w:rsidRDefault="5E830064" w:rsidP="00514A1A">
            <w:pPr>
              <w:jc w:val="both"/>
              <w:rPr>
                <w:b/>
                <w:bCs/>
                <w:sz w:val="18"/>
                <w:szCs w:val="18"/>
                <w:lang w:val="en-US"/>
              </w:rPr>
            </w:pPr>
            <w:r w:rsidRPr="30E9E5A7">
              <w:rPr>
                <w:b/>
                <w:bCs/>
                <w:sz w:val="18"/>
                <w:szCs w:val="18"/>
                <w:lang w:val="en-US"/>
              </w:rPr>
              <w:t>16.</w:t>
            </w:r>
          </w:p>
        </w:tc>
        <w:tc>
          <w:tcPr>
            <w:tcW w:w="5419" w:type="dxa"/>
            <w:vAlign w:val="center"/>
          </w:tcPr>
          <w:p w14:paraId="7960D194" w14:textId="5F83953D" w:rsidR="239FCD15" w:rsidRPr="003744FB" w:rsidRDefault="239FCD15" w:rsidP="00514A1A">
            <w:pPr>
              <w:jc w:val="both"/>
              <w:rPr>
                <w:rFonts w:eastAsia="Times New Roman" w:cs="Times New Roman"/>
                <w:sz w:val="18"/>
                <w:szCs w:val="18"/>
                <w:lang w:val="en-US"/>
              </w:rPr>
            </w:pPr>
            <w:r w:rsidRPr="003744FB">
              <w:rPr>
                <w:rFonts w:eastAsia="Times New Roman" w:cs="Times New Roman"/>
                <w:sz w:val="18"/>
                <w:szCs w:val="18"/>
                <w:lang w:val="en-US"/>
              </w:rPr>
              <w:t>Ensure that the audit covers at minimum: assessment of current energy consumption, identification of inefficiencies, quantification of energy-saving potential, and prioritized recommendations for efficiency measures and renewable energy integration (where applicable)</w:t>
            </w:r>
          </w:p>
        </w:tc>
        <w:tc>
          <w:tcPr>
            <w:tcW w:w="800" w:type="dxa"/>
          </w:tcPr>
          <w:p w14:paraId="0AA042C5" w14:textId="5C0A22DD" w:rsidR="30E9E5A7" w:rsidRDefault="30E9E5A7" w:rsidP="30E9E5A7">
            <w:pPr>
              <w:jc w:val="both"/>
              <w:rPr>
                <w:b/>
                <w:bCs/>
                <w:sz w:val="18"/>
                <w:szCs w:val="18"/>
                <w:lang w:val="en-US"/>
              </w:rPr>
            </w:pPr>
          </w:p>
        </w:tc>
        <w:tc>
          <w:tcPr>
            <w:tcW w:w="822" w:type="dxa"/>
          </w:tcPr>
          <w:p w14:paraId="43C8D396" w14:textId="4B2D67F7" w:rsidR="30E9E5A7" w:rsidRDefault="30E9E5A7" w:rsidP="30E9E5A7">
            <w:pPr>
              <w:jc w:val="both"/>
              <w:rPr>
                <w:b/>
                <w:bCs/>
                <w:sz w:val="18"/>
                <w:szCs w:val="18"/>
                <w:lang w:val="en-US"/>
              </w:rPr>
            </w:pPr>
          </w:p>
        </w:tc>
        <w:tc>
          <w:tcPr>
            <w:tcW w:w="1828" w:type="dxa"/>
          </w:tcPr>
          <w:p w14:paraId="57626098" w14:textId="76EA10E3" w:rsidR="30E9E5A7" w:rsidRDefault="30E9E5A7" w:rsidP="30E9E5A7">
            <w:pPr>
              <w:jc w:val="both"/>
              <w:rPr>
                <w:b/>
                <w:bCs/>
                <w:sz w:val="18"/>
                <w:szCs w:val="18"/>
                <w:lang w:val="en-US"/>
              </w:rPr>
            </w:pPr>
          </w:p>
        </w:tc>
      </w:tr>
    </w:tbl>
    <w:p w14:paraId="52247677" w14:textId="77777777" w:rsidR="00C7728F" w:rsidRPr="003275E0" w:rsidRDefault="00C7728F" w:rsidP="00CB3CFE">
      <w:pPr>
        <w:spacing w:after="120"/>
        <w:jc w:val="both"/>
        <w:rPr>
          <w:sz w:val="20"/>
          <w:szCs w:val="20"/>
          <w:lang w:val="en-US"/>
        </w:rPr>
      </w:pPr>
      <w:r w:rsidRPr="003275E0">
        <w:rPr>
          <w:b/>
          <w:bCs/>
          <w:sz w:val="20"/>
          <w:szCs w:val="20"/>
          <w:lang w:val="en-US"/>
        </w:rPr>
        <w:t>Note – Administrative evaluation result:</w:t>
      </w:r>
    </w:p>
    <w:p w14:paraId="5BE1A798" w14:textId="77777777" w:rsidR="00C7728F" w:rsidRPr="003275E0" w:rsidRDefault="00C7728F" w:rsidP="00CB3CFE">
      <w:pPr>
        <w:numPr>
          <w:ilvl w:val="0"/>
          <w:numId w:val="15"/>
        </w:numPr>
        <w:spacing w:after="120"/>
        <w:jc w:val="both"/>
        <w:rPr>
          <w:sz w:val="20"/>
          <w:szCs w:val="20"/>
          <w:lang w:val="en-US"/>
        </w:rPr>
      </w:pPr>
      <w:r w:rsidRPr="003275E0">
        <w:rPr>
          <w:b/>
          <w:bCs/>
          <w:sz w:val="20"/>
          <w:szCs w:val="20"/>
          <w:lang w:val="en-US"/>
        </w:rPr>
        <w:t>Eligible</w:t>
      </w:r>
      <w:r w:rsidRPr="003275E0">
        <w:rPr>
          <w:sz w:val="20"/>
          <w:szCs w:val="20"/>
          <w:lang w:val="en-US"/>
        </w:rPr>
        <w:t xml:space="preserve"> – admitted to technical evaluation</w:t>
      </w:r>
    </w:p>
    <w:p w14:paraId="7AE74F6D" w14:textId="77777777" w:rsidR="00C7728F" w:rsidRPr="003275E0" w:rsidRDefault="00C7728F" w:rsidP="00CB3CFE">
      <w:pPr>
        <w:numPr>
          <w:ilvl w:val="0"/>
          <w:numId w:val="15"/>
        </w:numPr>
        <w:spacing w:after="120"/>
        <w:jc w:val="both"/>
        <w:rPr>
          <w:sz w:val="20"/>
          <w:szCs w:val="20"/>
          <w:lang w:val="en-US"/>
        </w:rPr>
      </w:pPr>
      <w:r w:rsidRPr="003275E0">
        <w:rPr>
          <w:b/>
          <w:bCs/>
          <w:sz w:val="20"/>
          <w:szCs w:val="20"/>
          <w:lang w:val="en-US"/>
        </w:rPr>
        <w:t>Not eligible</w:t>
      </w:r>
      <w:r w:rsidRPr="003275E0">
        <w:rPr>
          <w:sz w:val="20"/>
          <w:szCs w:val="20"/>
          <w:lang w:val="en-US"/>
        </w:rPr>
        <w:t xml:space="preserve"> – rejected</w:t>
      </w:r>
    </w:p>
    <w:p w14:paraId="16DF074E" w14:textId="77777777" w:rsidR="00C7728F" w:rsidRPr="003275E0" w:rsidRDefault="00C7728F" w:rsidP="00CB3CFE">
      <w:pPr>
        <w:spacing w:after="120"/>
        <w:jc w:val="both"/>
        <w:rPr>
          <w:sz w:val="20"/>
          <w:szCs w:val="20"/>
          <w:lang w:val="en-US"/>
        </w:rPr>
      </w:pPr>
      <w:r w:rsidRPr="003275E0">
        <w:rPr>
          <w:sz w:val="20"/>
          <w:szCs w:val="20"/>
          <w:lang w:val="en-US"/>
        </w:rPr>
        <w:t>Only applications declared eligible at this stage will be admitted to the technical evaluation.</w:t>
      </w:r>
    </w:p>
    <w:p w14:paraId="16231007" w14:textId="77777777" w:rsidR="001A6E4D" w:rsidRPr="003275E0" w:rsidRDefault="001A6E4D" w:rsidP="00CB3CFE">
      <w:pPr>
        <w:spacing w:after="120"/>
        <w:jc w:val="both"/>
        <w:rPr>
          <w:sz w:val="24"/>
          <w:szCs w:val="24"/>
          <w:lang w:val="en-US"/>
        </w:rPr>
      </w:pPr>
      <w:r w:rsidRPr="003275E0">
        <w:rPr>
          <w:b/>
          <w:bCs/>
          <w:sz w:val="24"/>
          <w:szCs w:val="24"/>
          <w:lang w:val="en-US"/>
        </w:rPr>
        <w:t>IV.2 Technical Evaluation Form</w:t>
      </w:r>
    </w:p>
    <w:p w14:paraId="5A2A9483" w14:textId="77777777" w:rsidR="001A6E4D" w:rsidRPr="003275E0" w:rsidRDefault="001A6E4D" w:rsidP="00CB3CFE">
      <w:pPr>
        <w:spacing w:after="120"/>
        <w:jc w:val="both"/>
        <w:rPr>
          <w:sz w:val="24"/>
          <w:szCs w:val="24"/>
          <w:lang w:val="en-US"/>
        </w:rPr>
      </w:pPr>
      <w:r w:rsidRPr="003275E0">
        <w:rPr>
          <w:sz w:val="24"/>
          <w:szCs w:val="24"/>
          <w:lang w:val="en-US"/>
        </w:rPr>
        <w:t>The technical evaluation will assess the strategic relevance, energy profile, potential impact of the audit, and readiness for follow-up actions at the level of large public enterprises.</w:t>
      </w:r>
    </w:p>
    <w:p w14:paraId="2E9059BB" w14:textId="77777777" w:rsidR="001A6E4D" w:rsidRPr="003275E0" w:rsidRDefault="001A6E4D" w:rsidP="00CB3CFE">
      <w:pPr>
        <w:spacing w:after="120"/>
        <w:jc w:val="both"/>
        <w:rPr>
          <w:sz w:val="24"/>
          <w:szCs w:val="24"/>
          <w:lang w:val="en-US"/>
        </w:rPr>
      </w:pPr>
      <w:r w:rsidRPr="003275E0">
        <w:rPr>
          <w:sz w:val="24"/>
          <w:szCs w:val="24"/>
          <w:lang w:val="en-US"/>
        </w:rPr>
        <w:t xml:space="preserve">Maximum total score: </w:t>
      </w:r>
      <w:r w:rsidRPr="003275E0">
        <w:rPr>
          <w:b/>
          <w:bCs/>
          <w:sz w:val="24"/>
          <w:szCs w:val="24"/>
          <w:lang w:val="en-US"/>
        </w:rPr>
        <w:t>100 points</w:t>
      </w:r>
      <w:r w:rsidRPr="003275E0">
        <w:rPr>
          <w:sz w:val="24"/>
          <w:szCs w:val="24"/>
          <w:lang w:val="en-US"/>
        </w:rPr>
        <w:t>.</w:t>
      </w:r>
    </w:p>
    <w:tbl>
      <w:tblPr>
        <w:tblStyle w:val="TableGrid"/>
        <w:tblW w:w="9379" w:type="dxa"/>
        <w:tblLook w:val="04A0" w:firstRow="1" w:lastRow="0" w:firstColumn="1" w:lastColumn="0" w:noHBand="0" w:noVBand="1"/>
      </w:tblPr>
      <w:tblGrid>
        <w:gridCol w:w="481"/>
        <w:gridCol w:w="2180"/>
        <w:gridCol w:w="2780"/>
        <w:gridCol w:w="3938"/>
      </w:tblGrid>
      <w:tr w:rsidR="002E2BE3" w:rsidRPr="003275E0" w14:paraId="3A809F3A" w14:textId="77777777" w:rsidTr="00514A1A">
        <w:tc>
          <w:tcPr>
            <w:tcW w:w="481" w:type="dxa"/>
            <w:shd w:val="clear" w:color="auto" w:fill="D9D9D9" w:themeFill="background1" w:themeFillShade="D9"/>
            <w:vAlign w:val="center"/>
          </w:tcPr>
          <w:p w14:paraId="745A3140" w14:textId="35B589C9" w:rsidR="002E2BE3" w:rsidRPr="003275E0" w:rsidRDefault="002E2BE3" w:rsidP="00CB3CFE">
            <w:pPr>
              <w:spacing w:after="120"/>
              <w:jc w:val="center"/>
              <w:rPr>
                <w:sz w:val="18"/>
                <w:szCs w:val="18"/>
                <w:lang w:val="en-US"/>
              </w:rPr>
            </w:pPr>
            <w:r w:rsidRPr="003275E0">
              <w:rPr>
                <w:b/>
                <w:bCs/>
                <w:sz w:val="18"/>
                <w:szCs w:val="18"/>
                <w:lang w:val="en-US"/>
              </w:rPr>
              <w:t>No.</w:t>
            </w:r>
          </w:p>
        </w:tc>
        <w:tc>
          <w:tcPr>
            <w:tcW w:w="2180" w:type="dxa"/>
            <w:shd w:val="clear" w:color="auto" w:fill="D9D9D9" w:themeFill="background1" w:themeFillShade="D9"/>
            <w:vAlign w:val="center"/>
          </w:tcPr>
          <w:p w14:paraId="432054DE" w14:textId="1073A67C" w:rsidR="002E2BE3" w:rsidRPr="003275E0" w:rsidRDefault="002E2BE3" w:rsidP="00CB3CFE">
            <w:pPr>
              <w:spacing w:after="120"/>
              <w:jc w:val="center"/>
              <w:rPr>
                <w:sz w:val="18"/>
                <w:szCs w:val="18"/>
                <w:lang w:val="en-US"/>
              </w:rPr>
            </w:pPr>
            <w:r w:rsidRPr="003275E0">
              <w:rPr>
                <w:b/>
                <w:bCs/>
                <w:sz w:val="18"/>
                <w:szCs w:val="18"/>
                <w:lang w:val="en-US"/>
              </w:rPr>
              <w:t>Evaluation criterion</w:t>
            </w:r>
          </w:p>
        </w:tc>
        <w:tc>
          <w:tcPr>
            <w:tcW w:w="2780" w:type="dxa"/>
            <w:shd w:val="clear" w:color="auto" w:fill="D9D9D9" w:themeFill="background1" w:themeFillShade="D9"/>
            <w:vAlign w:val="center"/>
          </w:tcPr>
          <w:p w14:paraId="4A64A2C9" w14:textId="3FC69AF2" w:rsidR="002E2BE3" w:rsidRPr="003275E0" w:rsidRDefault="002E2BE3" w:rsidP="00CB3CFE">
            <w:pPr>
              <w:spacing w:after="120"/>
              <w:jc w:val="center"/>
              <w:rPr>
                <w:sz w:val="18"/>
                <w:szCs w:val="18"/>
                <w:lang w:val="en-US"/>
              </w:rPr>
            </w:pPr>
            <w:r w:rsidRPr="003275E0">
              <w:rPr>
                <w:b/>
                <w:bCs/>
                <w:sz w:val="18"/>
                <w:szCs w:val="18"/>
                <w:lang w:val="en-US"/>
              </w:rPr>
              <w:t>Assessment focus / Rated criteria</w:t>
            </w:r>
          </w:p>
        </w:tc>
        <w:tc>
          <w:tcPr>
            <w:tcW w:w="3938" w:type="dxa"/>
            <w:shd w:val="clear" w:color="auto" w:fill="D9D9D9" w:themeFill="background1" w:themeFillShade="D9"/>
            <w:vAlign w:val="center"/>
          </w:tcPr>
          <w:p w14:paraId="11C5E691" w14:textId="4132FCB9" w:rsidR="002E2BE3" w:rsidRPr="003275E0" w:rsidRDefault="002E2BE3" w:rsidP="00CB3CFE">
            <w:pPr>
              <w:spacing w:after="120"/>
              <w:jc w:val="center"/>
              <w:rPr>
                <w:sz w:val="18"/>
                <w:szCs w:val="18"/>
                <w:lang w:val="en-US"/>
              </w:rPr>
            </w:pPr>
            <w:r w:rsidRPr="003275E0">
              <w:rPr>
                <w:b/>
                <w:bCs/>
                <w:sz w:val="18"/>
                <w:szCs w:val="18"/>
                <w:lang w:val="en-US"/>
              </w:rPr>
              <w:t>Score</w:t>
            </w:r>
          </w:p>
        </w:tc>
      </w:tr>
      <w:tr w:rsidR="002E2BE3" w:rsidRPr="00C1701A" w14:paraId="30EEE335" w14:textId="77777777" w:rsidTr="00514A1A">
        <w:tc>
          <w:tcPr>
            <w:tcW w:w="481" w:type="dxa"/>
          </w:tcPr>
          <w:p w14:paraId="73693A5A" w14:textId="77777777" w:rsidR="002E2BE3" w:rsidRPr="003275E0" w:rsidRDefault="002E2BE3" w:rsidP="00CB3CFE">
            <w:pPr>
              <w:pStyle w:val="ListParagraph"/>
              <w:numPr>
                <w:ilvl w:val="0"/>
                <w:numId w:val="17"/>
              </w:numPr>
              <w:tabs>
                <w:tab w:val="left" w:pos="512"/>
                <w:tab w:val="left" w:pos="602"/>
              </w:tabs>
              <w:spacing w:after="120"/>
              <w:ind w:left="763" w:hanging="791"/>
              <w:jc w:val="both"/>
              <w:rPr>
                <w:sz w:val="18"/>
                <w:szCs w:val="18"/>
                <w:lang w:val="en-US"/>
              </w:rPr>
            </w:pPr>
          </w:p>
        </w:tc>
        <w:tc>
          <w:tcPr>
            <w:tcW w:w="2180" w:type="dxa"/>
          </w:tcPr>
          <w:p w14:paraId="26F07713" w14:textId="4AD60731" w:rsidR="002E2BE3" w:rsidRPr="003275E0" w:rsidRDefault="002E2BE3" w:rsidP="00CB3CFE">
            <w:pPr>
              <w:spacing w:after="120"/>
              <w:jc w:val="both"/>
              <w:rPr>
                <w:sz w:val="18"/>
                <w:szCs w:val="18"/>
                <w:lang w:val="en-US"/>
              </w:rPr>
            </w:pPr>
            <w:r w:rsidRPr="003275E0">
              <w:rPr>
                <w:sz w:val="18"/>
                <w:szCs w:val="18"/>
                <w:lang w:val="en-US"/>
              </w:rPr>
              <w:t>Strategic importance and public service relevance</w:t>
            </w:r>
          </w:p>
        </w:tc>
        <w:tc>
          <w:tcPr>
            <w:tcW w:w="2780" w:type="dxa"/>
          </w:tcPr>
          <w:p w14:paraId="7214C86D" w14:textId="0FDEACE8" w:rsidR="002E2BE3" w:rsidRPr="003275E0" w:rsidRDefault="002E2BE3" w:rsidP="00CB3CFE">
            <w:pPr>
              <w:spacing w:after="120"/>
              <w:jc w:val="both"/>
              <w:rPr>
                <w:sz w:val="18"/>
                <w:szCs w:val="18"/>
                <w:lang w:val="en-US"/>
              </w:rPr>
            </w:pPr>
            <w:r w:rsidRPr="003275E0">
              <w:rPr>
                <w:sz w:val="18"/>
                <w:szCs w:val="18"/>
                <w:lang w:val="en-US"/>
              </w:rPr>
              <w:t>Priority given to enterprises providing essential services to the population (water, energy, food, transport, critical infrastructure)</w:t>
            </w:r>
          </w:p>
        </w:tc>
        <w:tc>
          <w:tcPr>
            <w:tcW w:w="3938" w:type="dxa"/>
          </w:tcPr>
          <w:p w14:paraId="473836B7" w14:textId="7B81073A" w:rsidR="002E2BE3" w:rsidRPr="003275E0" w:rsidRDefault="4C96954A" w:rsidP="00CB3CFE">
            <w:pPr>
              <w:spacing w:after="120"/>
              <w:jc w:val="both"/>
              <w:rPr>
                <w:sz w:val="18"/>
                <w:szCs w:val="18"/>
                <w:lang w:val="en-US"/>
              </w:rPr>
            </w:pPr>
            <w:r w:rsidRPr="56149FC6">
              <w:rPr>
                <w:sz w:val="18"/>
                <w:szCs w:val="18"/>
                <w:lang w:val="en-US"/>
              </w:rPr>
              <w:t>30</w:t>
            </w:r>
            <w:r w:rsidR="002E2BE3" w:rsidRPr="003275E0">
              <w:rPr>
                <w:sz w:val="18"/>
                <w:szCs w:val="18"/>
                <w:lang w:val="en-US"/>
              </w:rPr>
              <w:t xml:space="preserve"> pts – Very high priority (essential service with wide population impact) </w:t>
            </w:r>
          </w:p>
          <w:p w14:paraId="2A948A25" w14:textId="77777777" w:rsidR="002E2BE3" w:rsidRPr="003275E0" w:rsidRDefault="002E2BE3" w:rsidP="00CB3CFE">
            <w:pPr>
              <w:spacing w:after="120"/>
              <w:jc w:val="both"/>
              <w:rPr>
                <w:sz w:val="18"/>
                <w:szCs w:val="18"/>
                <w:lang w:val="en-US"/>
              </w:rPr>
            </w:pPr>
            <w:r w:rsidRPr="003275E0">
              <w:rPr>
                <w:sz w:val="18"/>
                <w:szCs w:val="18"/>
                <w:lang w:val="en-US"/>
              </w:rPr>
              <w:t xml:space="preserve">15 pts – High priority (important public service) </w:t>
            </w:r>
          </w:p>
          <w:p w14:paraId="35D45A0B" w14:textId="505CEC82" w:rsidR="002E2BE3" w:rsidRPr="003275E0" w:rsidRDefault="002E2BE3" w:rsidP="00CB3CFE">
            <w:pPr>
              <w:pStyle w:val="ListParagraph"/>
              <w:numPr>
                <w:ilvl w:val="1"/>
                <w:numId w:val="14"/>
              </w:numPr>
              <w:tabs>
                <w:tab w:val="left" w:pos="162"/>
              </w:tabs>
              <w:spacing w:after="120"/>
              <w:ind w:hanging="1440"/>
              <w:contextualSpacing w:val="0"/>
              <w:jc w:val="both"/>
              <w:rPr>
                <w:sz w:val="18"/>
                <w:szCs w:val="18"/>
                <w:lang w:val="en-US"/>
              </w:rPr>
            </w:pPr>
            <w:r w:rsidRPr="003275E0">
              <w:rPr>
                <w:sz w:val="18"/>
                <w:szCs w:val="18"/>
                <w:lang w:val="en-US"/>
              </w:rPr>
              <w:t xml:space="preserve">pts – Moderate relevance </w:t>
            </w:r>
          </w:p>
          <w:p w14:paraId="2259E41A" w14:textId="1F84699C" w:rsidR="002E2BE3" w:rsidRPr="003275E0" w:rsidRDefault="002E2BE3" w:rsidP="00CB3CFE">
            <w:pPr>
              <w:spacing w:after="120"/>
              <w:jc w:val="both"/>
              <w:rPr>
                <w:sz w:val="18"/>
                <w:szCs w:val="18"/>
                <w:lang w:val="en-US"/>
              </w:rPr>
            </w:pPr>
            <w:r w:rsidRPr="003275E0">
              <w:rPr>
                <w:sz w:val="18"/>
                <w:szCs w:val="18"/>
                <w:lang w:val="en-US"/>
              </w:rPr>
              <w:t>0 pts – Low or no demonstrated public service role</w:t>
            </w:r>
          </w:p>
        </w:tc>
      </w:tr>
      <w:tr w:rsidR="002E2BE3" w:rsidRPr="00C1701A" w14:paraId="1AC77DB4" w14:textId="77777777" w:rsidTr="00514A1A">
        <w:tc>
          <w:tcPr>
            <w:tcW w:w="481" w:type="dxa"/>
          </w:tcPr>
          <w:p w14:paraId="578F2E3C" w14:textId="77777777" w:rsidR="002E2BE3" w:rsidRPr="003275E0" w:rsidRDefault="002E2BE3" w:rsidP="00CB3CFE">
            <w:pPr>
              <w:pStyle w:val="ListParagraph"/>
              <w:numPr>
                <w:ilvl w:val="0"/>
                <w:numId w:val="17"/>
              </w:numPr>
              <w:tabs>
                <w:tab w:val="left" w:pos="512"/>
                <w:tab w:val="left" w:pos="602"/>
              </w:tabs>
              <w:spacing w:after="120"/>
              <w:ind w:left="763" w:hanging="791"/>
              <w:jc w:val="both"/>
              <w:rPr>
                <w:sz w:val="18"/>
                <w:szCs w:val="18"/>
                <w:lang w:val="en-US"/>
              </w:rPr>
            </w:pPr>
          </w:p>
        </w:tc>
        <w:tc>
          <w:tcPr>
            <w:tcW w:w="2180" w:type="dxa"/>
          </w:tcPr>
          <w:p w14:paraId="2AEDA6AA" w14:textId="3994E09A" w:rsidR="002E2BE3" w:rsidRPr="003275E0" w:rsidRDefault="002E2BE3" w:rsidP="00CB3CFE">
            <w:pPr>
              <w:spacing w:after="120"/>
              <w:jc w:val="both"/>
              <w:rPr>
                <w:sz w:val="18"/>
                <w:szCs w:val="18"/>
                <w:lang w:val="en-US"/>
              </w:rPr>
            </w:pPr>
            <w:r w:rsidRPr="003275E0">
              <w:rPr>
                <w:sz w:val="18"/>
                <w:szCs w:val="18"/>
                <w:lang w:val="en-US"/>
              </w:rPr>
              <w:t>Energy consumption profile and audit relevance</w:t>
            </w:r>
          </w:p>
        </w:tc>
        <w:tc>
          <w:tcPr>
            <w:tcW w:w="2780" w:type="dxa"/>
          </w:tcPr>
          <w:p w14:paraId="2EF4EC00" w14:textId="77777777" w:rsidR="00230777" w:rsidRPr="003275E0" w:rsidRDefault="002E2BE3" w:rsidP="00CB3CFE">
            <w:pPr>
              <w:spacing w:after="120"/>
              <w:jc w:val="both"/>
              <w:rPr>
                <w:sz w:val="18"/>
                <w:szCs w:val="18"/>
                <w:lang w:val="en-US"/>
              </w:rPr>
            </w:pPr>
            <w:r w:rsidRPr="003275E0">
              <w:rPr>
                <w:sz w:val="18"/>
                <w:szCs w:val="18"/>
                <w:lang w:val="en-US"/>
              </w:rPr>
              <w:t xml:space="preserve">Assessment of: </w:t>
            </w:r>
          </w:p>
          <w:p w14:paraId="1A079CC2" w14:textId="77777777" w:rsidR="00230777" w:rsidRPr="003275E0" w:rsidRDefault="002E2BE3" w:rsidP="00CB3CFE">
            <w:pPr>
              <w:pStyle w:val="ListParagraph"/>
              <w:numPr>
                <w:ilvl w:val="0"/>
                <w:numId w:val="18"/>
              </w:numPr>
              <w:spacing w:after="120"/>
              <w:ind w:left="76" w:hanging="90"/>
              <w:jc w:val="both"/>
              <w:rPr>
                <w:sz w:val="18"/>
                <w:szCs w:val="18"/>
                <w:lang w:val="en-US"/>
              </w:rPr>
            </w:pPr>
            <w:r w:rsidRPr="003275E0">
              <w:rPr>
                <w:sz w:val="18"/>
                <w:szCs w:val="18"/>
                <w:lang w:val="en-US"/>
              </w:rPr>
              <w:t xml:space="preserve">absolute energy consumption </w:t>
            </w:r>
            <w:proofErr w:type="gramStart"/>
            <w:r w:rsidRPr="003275E0">
              <w:rPr>
                <w:sz w:val="18"/>
                <w:szCs w:val="18"/>
                <w:lang w:val="en-US"/>
              </w:rPr>
              <w:t>levels;</w:t>
            </w:r>
            <w:proofErr w:type="gramEnd"/>
            <w:r w:rsidRPr="003275E0">
              <w:rPr>
                <w:sz w:val="18"/>
                <w:szCs w:val="18"/>
                <w:lang w:val="en-US"/>
              </w:rPr>
              <w:t xml:space="preserve"> </w:t>
            </w:r>
          </w:p>
          <w:p w14:paraId="1E4B949E" w14:textId="77777777" w:rsidR="00230777" w:rsidRPr="003275E0" w:rsidRDefault="002E2BE3" w:rsidP="00CB3CFE">
            <w:pPr>
              <w:pStyle w:val="ListParagraph"/>
              <w:numPr>
                <w:ilvl w:val="0"/>
                <w:numId w:val="18"/>
              </w:numPr>
              <w:spacing w:after="120"/>
              <w:ind w:left="76" w:hanging="90"/>
              <w:jc w:val="both"/>
              <w:rPr>
                <w:sz w:val="18"/>
                <w:szCs w:val="18"/>
                <w:lang w:val="en-US"/>
              </w:rPr>
            </w:pPr>
            <w:r w:rsidRPr="003275E0">
              <w:rPr>
                <w:sz w:val="18"/>
                <w:szCs w:val="18"/>
                <w:lang w:val="en-US"/>
              </w:rPr>
              <w:t>types of energy used (electricity, gas, thermal, fuels</w:t>
            </w:r>
            <w:proofErr w:type="gramStart"/>
            <w:r w:rsidRPr="003275E0">
              <w:rPr>
                <w:sz w:val="18"/>
                <w:szCs w:val="18"/>
                <w:lang w:val="en-US"/>
              </w:rPr>
              <w:t>);</w:t>
            </w:r>
            <w:proofErr w:type="gramEnd"/>
            <w:r w:rsidRPr="003275E0">
              <w:rPr>
                <w:sz w:val="18"/>
                <w:szCs w:val="18"/>
                <w:lang w:val="en-US"/>
              </w:rPr>
              <w:t xml:space="preserve"> </w:t>
            </w:r>
          </w:p>
          <w:p w14:paraId="7A1F8CB0" w14:textId="31156EE2" w:rsidR="002E2BE3" w:rsidRPr="003275E0" w:rsidRDefault="002E2BE3" w:rsidP="00CB3CFE">
            <w:pPr>
              <w:pStyle w:val="ListParagraph"/>
              <w:numPr>
                <w:ilvl w:val="0"/>
                <w:numId w:val="18"/>
              </w:numPr>
              <w:spacing w:after="120"/>
              <w:ind w:left="76" w:hanging="90"/>
              <w:jc w:val="both"/>
              <w:rPr>
                <w:sz w:val="18"/>
                <w:szCs w:val="18"/>
                <w:lang w:val="en-US"/>
              </w:rPr>
            </w:pPr>
            <w:r w:rsidRPr="003275E0">
              <w:rPr>
                <w:sz w:val="18"/>
                <w:szCs w:val="18"/>
                <w:lang w:val="en-US"/>
              </w:rPr>
              <w:t>existence of energy-intensive processes/infrastructure (e.g., pumping stations, production lines, district heating, large fleets)</w:t>
            </w:r>
          </w:p>
        </w:tc>
        <w:tc>
          <w:tcPr>
            <w:tcW w:w="3938" w:type="dxa"/>
          </w:tcPr>
          <w:p w14:paraId="5CC86FB8" w14:textId="1ABAF7AE" w:rsidR="00633DB7" w:rsidRPr="003275E0" w:rsidRDefault="002E2BE3" w:rsidP="00CB3CFE">
            <w:pPr>
              <w:spacing w:after="120"/>
              <w:jc w:val="both"/>
              <w:rPr>
                <w:sz w:val="18"/>
                <w:szCs w:val="18"/>
                <w:lang w:val="en-US"/>
              </w:rPr>
            </w:pPr>
            <w:r w:rsidRPr="003275E0">
              <w:rPr>
                <w:sz w:val="18"/>
                <w:szCs w:val="18"/>
                <w:lang w:val="en-US"/>
              </w:rPr>
              <w:t xml:space="preserve">25 pts – Significant / very high energy consumption with clear optimization potential </w:t>
            </w:r>
          </w:p>
          <w:p w14:paraId="6969BE09" w14:textId="52533295" w:rsidR="002E2BE3" w:rsidRPr="003275E0" w:rsidRDefault="002E2BE3" w:rsidP="00CB3CFE">
            <w:pPr>
              <w:spacing w:after="120"/>
              <w:jc w:val="both"/>
              <w:rPr>
                <w:sz w:val="18"/>
                <w:szCs w:val="18"/>
                <w:lang w:val="en-US"/>
              </w:rPr>
            </w:pPr>
            <w:r w:rsidRPr="003275E0">
              <w:rPr>
                <w:sz w:val="18"/>
                <w:szCs w:val="18"/>
                <w:lang w:val="en-US"/>
              </w:rPr>
              <w:t xml:space="preserve">15 pts – Moderate to high consumption with good potential </w:t>
            </w:r>
          </w:p>
          <w:p w14:paraId="249B9BE0" w14:textId="1A083D2D" w:rsidR="002E2BE3" w:rsidRPr="00514A1A" w:rsidRDefault="008D27B9" w:rsidP="00514A1A">
            <w:pPr>
              <w:tabs>
                <w:tab w:val="left" w:pos="162"/>
              </w:tabs>
              <w:spacing w:after="120"/>
              <w:jc w:val="both"/>
              <w:rPr>
                <w:sz w:val="18"/>
                <w:szCs w:val="18"/>
                <w:lang w:val="en-US"/>
              </w:rPr>
            </w:pPr>
            <w:r>
              <w:rPr>
                <w:sz w:val="18"/>
                <w:szCs w:val="18"/>
                <w:lang w:val="en-US"/>
              </w:rPr>
              <w:t xml:space="preserve">5 </w:t>
            </w:r>
            <w:r w:rsidR="002E2BE3" w:rsidRPr="00514A1A">
              <w:rPr>
                <w:sz w:val="18"/>
                <w:szCs w:val="18"/>
                <w:lang w:val="en-US"/>
              </w:rPr>
              <w:t xml:space="preserve">pts – Limited consumption or marginal relevance </w:t>
            </w:r>
          </w:p>
          <w:p w14:paraId="27654056" w14:textId="18AC49E5" w:rsidR="002E2BE3" w:rsidRPr="003275E0" w:rsidRDefault="002E2BE3" w:rsidP="00CB3CFE">
            <w:pPr>
              <w:spacing w:after="120"/>
              <w:jc w:val="both"/>
              <w:rPr>
                <w:sz w:val="18"/>
                <w:szCs w:val="18"/>
                <w:lang w:val="en-US"/>
              </w:rPr>
            </w:pPr>
            <w:r w:rsidRPr="003275E0">
              <w:rPr>
                <w:sz w:val="18"/>
                <w:szCs w:val="18"/>
                <w:lang w:val="en-US"/>
              </w:rPr>
              <w:t>0 pts – Inadequate or unclear information</w:t>
            </w:r>
          </w:p>
        </w:tc>
      </w:tr>
      <w:tr w:rsidR="30E9E5A7" w:rsidRPr="00C1701A" w14:paraId="01EFFC21" w14:textId="77777777" w:rsidTr="00514A1A">
        <w:trPr>
          <w:trHeight w:val="300"/>
        </w:trPr>
        <w:tc>
          <w:tcPr>
            <w:tcW w:w="481" w:type="dxa"/>
          </w:tcPr>
          <w:p w14:paraId="1190507D" w14:textId="2C594747" w:rsidR="30E9E5A7" w:rsidRPr="00514A1A" w:rsidRDefault="30E9E5A7" w:rsidP="00514A1A">
            <w:pPr>
              <w:pStyle w:val="ListParagraph"/>
              <w:numPr>
                <w:ilvl w:val="0"/>
                <w:numId w:val="17"/>
              </w:numPr>
              <w:tabs>
                <w:tab w:val="left" w:pos="512"/>
                <w:tab w:val="left" w:pos="602"/>
              </w:tabs>
              <w:spacing w:after="120"/>
              <w:ind w:left="763" w:hanging="791"/>
              <w:jc w:val="both"/>
              <w:rPr>
                <w:sz w:val="18"/>
                <w:szCs w:val="18"/>
                <w:lang w:val="en-US"/>
              </w:rPr>
            </w:pPr>
          </w:p>
        </w:tc>
        <w:tc>
          <w:tcPr>
            <w:tcW w:w="2180" w:type="dxa"/>
          </w:tcPr>
          <w:p w14:paraId="35B3A1A0" w14:textId="1FFF2D97" w:rsidR="257F6B01" w:rsidRPr="00514A1A" w:rsidRDefault="257F6B01" w:rsidP="00514A1A">
            <w:pPr>
              <w:jc w:val="both"/>
              <w:rPr>
                <w:rFonts w:eastAsia="Times New Roman" w:cs="Times New Roman"/>
                <w:sz w:val="18"/>
                <w:szCs w:val="18"/>
                <w:lang w:val="en-US"/>
              </w:rPr>
            </w:pPr>
            <w:r w:rsidRPr="00514A1A">
              <w:rPr>
                <w:rFonts w:eastAsia="Times New Roman" w:cs="Times New Roman"/>
                <w:sz w:val="18"/>
                <w:szCs w:val="18"/>
                <w:lang w:val="en-US"/>
              </w:rPr>
              <w:t xml:space="preserve">Operate an active production, service, or infrastructure facility on the territory of the Republic of </w:t>
            </w:r>
            <w:proofErr w:type="gramStart"/>
            <w:r w:rsidRPr="00514A1A">
              <w:rPr>
                <w:rFonts w:eastAsia="Times New Roman" w:cs="Times New Roman"/>
                <w:sz w:val="18"/>
                <w:szCs w:val="18"/>
                <w:lang w:val="en-US"/>
              </w:rPr>
              <w:t>Moldova )</w:t>
            </w:r>
            <w:proofErr w:type="gramEnd"/>
          </w:p>
        </w:tc>
        <w:tc>
          <w:tcPr>
            <w:tcW w:w="2780" w:type="dxa"/>
          </w:tcPr>
          <w:p w14:paraId="2DD4AF0F" w14:textId="1B84B487" w:rsidR="5A58A855" w:rsidRPr="0002576B" w:rsidRDefault="5A58A855" w:rsidP="00514A1A">
            <w:pPr>
              <w:jc w:val="both"/>
              <w:rPr>
                <w:rFonts w:eastAsia="Times New Roman" w:cs="Times New Roman"/>
                <w:sz w:val="18"/>
                <w:szCs w:val="18"/>
                <w:lang w:val="en-US"/>
              </w:rPr>
            </w:pPr>
            <w:r w:rsidRPr="00514A1A">
              <w:rPr>
                <w:rFonts w:eastAsia="Times New Roman" w:cs="Times New Roman"/>
                <w:sz w:val="18"/>
                <w:szCs w:val="18"/>
                <w:lang w:val="en-US"/>
              </w:rPr>
              <w:t xml:space="preserve">Existence and confirmation of an active operational facility (production hall, service base, pumping station, boiler house, fleet depot, etc.) located in the Republic of Moldova; </w:t>
            </w:r>
          </w:p>
        </w:tc>
        <w:tc>
          <w:tcPr>
            <w:tcW w:w="3938" w:type="dxa"/>
          </w:tcPr>
          <w:p w14:paraId="4B3DF17D" w14:textId="4D0E5B23" w:rsidR="578C6278" w:rsidRPr="00514A1A" w:rsidRDefault="578C6278" w:rsidP="00514A1A">
            <w:pPr>
              <w:spacing w:line="360" w:lineRule="auto"/>
              <w:jc w:val="both"/>
              <w:rPr>
                <w:sz w:val="18"/>
                <w:szCs w:val="18"/>
                <w:lang w:val="en-US"/>
              </w:rPr>
            </w:pPr>
            <w:r w:rsidRPr="00514A1A">
              <w:rPr>
                <w:rFonts w:eastAsia="Times New Roman" w:cs="Times New Roman"/>
                <w:sz w:val="18"/>
                <w:szCs w:val="18"/>
                <w:lang w:val="en-US"/>
              </w:rPr>
              <w:t xml:space="preserve">15 pts – Fully operational facility in RM </w:t>
            </w:r>
          </w:p>
          <w:p w14:paraId="6A1F5FF0" w14:textId="5F1EAB79" w:rsidR="578C6278" w:rsidRPr="00514A1A" w:rsidRDefault="578C6278" w:rsidP="00514A1A">
            <w:pPr>
              <w:spacing w:line="360" w:lineRule="auto"/>
              <w:jc w:val="both"/>
              <w:rPr>
                <w:sz w:val="18"/>
                <w:szCs w:val="18"/>
                <w:lang w:val="en-US"/>
              </w:rPr>
            </w:pPr>
            <w:r w:rsidRPr="00514A1A">
              <w:rPr>
                <w:rFonts w:eastAsia="Times New Roman" w:cs="Times New Roman"/>
                <w:sz w:val="18"/>
                <w:szCs w:val="18"/>
                <w:lang w:val="en-US"/>
              </w:rPr>
              <w:t xml:space="preserve">5 pts – </w:t>
            </w:r>
            <w:r w:rsidR="0BEE2CD3" w:rsidRPr="56149FC6">
              <w:rPr>
                <w:rFonts w:eastAsia="Times New Roman" w:cs="Times New Roman"/>
                <w:sz w:val="18"/>
                <w:szCs w:val="18"/>
                <w:lang w:val="en-US"/>
              </w:rPr>
              <w:t xml:space="preserve">Limited Operational </w:t>
            </w:r>
            <w:proofErr w:type="gramStart"/>
            <w:r w:rsidR="34E74000" w:rsidRPr="56149FC6">
              <w:rPr>
                <w:rFonts w:eastAsia="Times New Roman" w:cs="Times New Roman"/>
                <w:sz w:val="18"/>
                <w:szCs w:val="18"/>
                <w:lang w:val="en-US"/>
              </w:rPr>
              <w:t>f</w:t>
            </w:r>
            <w:r w:rsidR="1898CEFB" w:rsidRPr="00514A1A">
              <w:rPr>
                <w:rFonts w:eastAsia="Times New Roman" w:cs="Times New Roman"/>
                <w:sz w:val="18"/>
                <w:szCs w:val="18"/>
                <w:lang w:val="en-US"/>
              </w:rPr>
              <w:t>acility</w:t>
            </w:r>
            <w:r w:rsidRPr="00514A1A">
              <w:rPr>
                <w:rFonts w:eastAsia="Times New Roman" w:cs="Times New Roman"/>
                <w:sz w:val="18"/>
                <w:szCs w:val="18"/>
                <w:lang w:val="en-US"/>
              </w:rPr>
              <w:t xml:space="preserve">  in</w:t>
            </w:r>
            <w:proofErr w:type="gramEnd"/>
            <w:r w:rsidRPr="00514A1A">
              <w:rPr>
                <w:rFonts w:eastAsia="Times New Roman" w:cs="Times New Roman"/>
                <w:sz w:val="18"/>
                <w:szCs w:val="18"/>
                <w:lang w:val="en-US"/>
              </w:rPr>
              <w:t xml:space="preserve"> RM </w:t>
            </w:r>
          </w:p>
          <w:p w14:paraId="2F1630A6" w14:textId="7270712A" w:rsidR="578C6278" w:rsidRPr="0002576B" w:rsidRDefault="578C6278" w:rsidP="00514A1A">
            <w:pPr>
              <w:spacing w:line="360" w:lineRule="auto"/>
              <w:jc w:val="both"/>
              <w:rPr>
                <w:rFonts w:eastAsia="Times New Roman" w:cs="Times New Roman"/>
                <w:sz w:val="18"/>
                <w:szCs w:val="18"/>
                <w:lang w:val="en-US"/>
              </w:rPr>
            </w:pPr>
            <w:r w:rsidRPr="00514A1A">
              <w:rPr>
                <w:rFonts w:eastAsia="Times New Roman" w:cs="Times New Roman"/>
                <w:sz w:val="18"/>
                <w:szCs w:val="18"/>
                <w:lang w:val="en-US"/>
              </w:rPr>
              <w:t>0 pts – No active facility in RM or insufficient evidence</w:t>
            </w:r>
          </w:p>
        </w:tc>
      </w:tr>
      <w:tr w:rsidR="002E2BE3" w:rsidRPr="00C1701A" w14:paraId="18CE6580" w14:textId="77777777" w:rsidTr="00514A1A">
        <w:tc>
          <w:tcPr>
            <w:tcW w:w="481" w:type="dxa"/>
          </w:tcPr>
          <w:p w14:paraId="77EAEC0F" w14:textId="77777777" w:rsidR="002E2BE3" w:rsidRPr="003275E0" w:rsidRDefault="002E2BE3" w:rsidP="00CB3CFE">
            <w:pPr>
              <w:pStyle w:val="ListParagraph"/>
              <w:numPr>
                <w:ilvl w:val="0"/>
                <w:numId w:val="17"/>
              </w:numPr>
              <w:tabs>
                <w:tab w:val="left" w:pos="512"/>
                <w:tab w:val="left" w:pos="602"/>
              </w:tabs>
              <w:spacing w:after="120"/>
              <w:ind w:left="763" w:hanging="791"/>
              <w:jc w:val="both"/>
              <w:rPr>
                <w:sz w:val="18"/>
                <w:szCs w:val="18"/>
                <w:lang w:val="en-US"/>
              </w:rPr>
            </w:pPr>
          </w:p>
        </w:tc>
        <w:tc>
          <w:tcPr>
            <w:tcW w:w="2180" w:type="dxa"/>
          </w:tcPr>
          <w:p w14:paraId="0A6EFD14" w14:textId="06F49060" w:rsidR="002E2BE3" w:rsidRPr="003275E0" w:rsidRDefault="002E2BE3" w:rsidP="00CB3CFE">
            <w:pPr>
              <w:spacing w:after="120"/>
              <w:jc w:val="both"/>
              <w:rPr>
                <w:sz w:val="18"/>
                <w:szCs w:val="18"/>
                <w:lang w:val="en-US"/>
              </w:rPr>
            </w:pPr>
            <w:r w:rsidRPr="003275E0">
              <w:rPr>
                <w:sz w:val="18"/>
                <w:szCs w:val="18"/>
                <w:lang w:val="en-US"/>
              </w:rPr>
              <w:t>Readiness for audit implementation and data availability</w:t>
            </w:r>
          </w:p>
        </w:tc>
        <w:tc>
          <w:tcPr>
            <w:tcW w:w="2780" w:type="dxa"/>
          </w:tcPr>
          <w:p w14:paraId="2BDAA8B1" w14:textId="05C107AE" w:rsidR="00230777" w:rsidRPr="003275E0" w:rsidRDefault="00085BF2" w:rsidP="00CB3CFE">
            <w:pPr>
              <w:pStyle w:val="ListParagraph"/>
              <w:numPr>
                <w:ilvl w:val="0"/>
                <w:numId w:val="19"/>
              </w:numPr>
              <w:spacing w:after="120"/>
              <w:ind w:left="76" w:hanging="90"/>
              <w:jc w:val="both"/>
              <w:rPr>
                <w:sz w:val="18"/>
                <w:szCs w:val="18"/>
                <w:lang w:val="en-US"/>
              </w:rPr>
            </w:pPr>
            <w:r w:rsidRPr="003275E0">
              <w:rPr>
                <w:sz w:val="18"/>
                <w:szCs w:val="18"/>
                <w:lang w:val="en-US"/>
              </w:rPr>
              <w:t>e</w:t>
            </w:r>
            <w:r w:rsidR="002E2BE3" w:rsidRPr="003275E0">
              <w:rPr>
                <w:sz w:val="18"/>
                <w:szCs w:val="18"/>
                <w:lang w:val="en-US"/>
              </w:rPr>
              <w:t xml:space="preserve">xistence of contract/draft with qualified </w:t>
            </w:r>
            <w:proofErr w:type="gramStart"/>
            <w:r w:rsidR="002E2BE3" w:rsidRPr="003275E0">
              <w:rPr>
                <w:sz w:val="18"/>
                <w:szCs w:val="18"/>
                <w:lang w:val="en-US"/>
              </w:rPr>
              <w:t>auditor;</w:t>
            </w:r>
            <w:proofErr w:type="gramEnd"/>
            <w:r w:rsidR="002E2BE3" w:rsidRPr="003275E0">
              <w:rPr>
                <w:sz w:val="18"/>
                <w:szCs w:val="18"/>
                <w:lang w:val="en-US"/>
              </w:rPr>
              <w:t xml:space="preserve"> </w:t>
            </w:r>
          </w:p>
          <w:p w14:paraId="02118463" w14:textId="403E482E" w:rsidR="00230777" w:rsidRPr="003275E0" w:rsidRDefault="00085BF2" w:rsidP="00CB3CFE">
            <w:pPr>
              <w:pStyle w:val="ListParagraph"/>
              <w:numPr>
                <w:ilvl w:val="0"/>
                <w:numId w:val="19"/>
              </w:numPr>
              <w:spacing w:after="120"/>
              <w:ind w:left="76" w:hanging="90"/>
              <w:jc w:val="both"/>
              <w:rPr>
                <w:sz w:val="18"/>
                <w:szCs w:val="18"/>
                <w:lang w:val="en-US"/>
              </w:rPr>
            </w:pPr>
            <w:r w:rsidRPr="003275E0">
              <w:rPr>
                <w:sz w:val="18"/>
                <w:szCs w:val="18"/>
                <w:lang w:val="en-US"/>
              </w:rPr>
              <w:t>a</w:t>
            </w:r>
            <w:r w:rsidR="00230777" w:rsidRPr="003275E0">
              <w:rPr>
                <w:sz w:val="18"/>
                <w:szCs w:val="18"/>
                <w:lang w:val="en-US"/>
              </w:rPr>
              <w:t xml:space="preserve">dvanced </w:t>
            </w:r>
            <w:r w:rsidRPr="003275E0">
              <w:rPr>
                <w:sz w:val="18"/>
                <w:szCs w:val="18"/>
                <w:lang w:val="en-US"/>
              </w:rPr>
              <w:t xml:space="preserve">level of contracting </w:t>
            </w:r>
          </w:p>
          <w:p w14:paraId="7996FBE4" w14:textId="77777777" w:rsidR="00085BF2" w:rsidRPr="003275E0" w:rsidRDefault="002E2BE3" w:rsidP="00CB3CFE">
            <w:pPr>
              <w:pStyle w:val="ListParagraph"/>
              <w:numPr>
                <w:ilvl w:val="0"/>
                <w:numId w:val="19"/>
              </w:numPr>
              <w:spacing w:after="120"/>
              <w:ind w:left="76" w:hanging="90"/>
              <w:jc w:val="both"/>
              <w:rPr>
                <w:sz w:val="18"/>
                <w:szCs w:val="18"/>
                <w:lang w:val="en-US"/>
              </w:rPr>
            </w:pPr>
            <w:r w:rsidRPr="003275E0">
              <w:rPr>
                <w:sz w:val="18"/>
                <w:szCs w:val="18"/>
                <w:lang w:val="en-US"/>
              </w:rPr>
              <w:t>quality and completeness of submitted energy data (bills, records, monitoring reports</w:t>
            </w:r>
            <w:proofErr w:type="gramStart"/>
            <w:r w:rsidRPr="003275E0">
              <w:rPr>
                <w:sz w:val="18"/>
                <w:szCs w:val="18"/>
                <w:lang w:val="en-US"/>
              </w:rPr>
              <w:t>);</w:t>
            </w:r>
            <w:proofErr w:type="gramEnd"/>
          </w:p>
          <w:p w14:paraId="5EEFA508" w14:textId="304A4FC4" w:rsidR="002E2BE3" w:rsidRPr="003275E0" w:rsidRDefault="002E2BE3" w:rsidP="00CB3CFE">
            <w:pPr>
              <w:pStyle w:val="ListParagraph"/>
              <w:numPr>
                <w:ilvl w:val="0"/>
                <w:numId w:val="19"/>
              </w:numPr>
              <w:spacing w:after="120"/>
              <w:ind w:left="76" w:hanging="90"/>
              <w:jc w:val="both"/>
              <w:rPr>
                <w:sz w:val="18"/>
                <w:szCs w:val="18"/>
                <w:lang w:val="en-US"/>
              </w:rPr>
            </w:pPr>
            <w:r w:rsidRPr="003275E0">
              <w:rPr>
                <w:sz w:val="18"/>
                <w:szCs w:val="18"/>
                <w:lang w:val="en-US"/>
              </w:rPr>
              <w:t>institutional capacity to cooperate (focal point, access to facilities)</w:t>
            </w:r>
          </w:p>
        </w:tc>
        <w:tc>
          <w:tcPr>
            <w:tcW w:w="3938" w:type="dxa"/>
          </w:tcPr>
          <w:p w14:paraId="62DE65BA" w14:textId="10AAAFBE" w:rsidR="002E2BE3" w:rsidRPr="003275E0" w:rsidRDefault="1F19E93F" w:rsidP="00CB3CFE">
            <w:pPr>
              <w:spacing w:after="120"/>
              <w:jc w:val="both"/>
              <w:rPr>
                <w:sz w:val="18"/>
                <w:szCs w:val="18"/>
                <w:lang w:val="en-US"/>
              </w:rPr>
            </w:pPr>
            <w:r w:rsidRPr="7F81B046">
              <w:rPr>
                <w:sz w:val="18"/>
                <w:szCs w:val="18"/>
                <w:lang w:val="en-US"/>
              </w:rPr>
              <w:t>1</w:t>
            </w:r>
            <w:r w:rsidR="13FAC761" w:rsidRPr="7F81B046">
              <w:rPr>
                <w:sz w:val="18"/>
                <w:szCs w:val="18"/>
                <w:lang w:val="en-US"/>
              </w:rPr>
              <w:t>5</w:t>
            </w:r>
            <w:r w:rsidR="002E2BE3" w:rsidRPr="7F81B046">
              <w:rPr>
                <w:sz w:val="18"/>
                <w:szCs w:val="18"/>
                <w:lang w:val="en-US"/>
              </w:rPr>
              <w:t xml:space="preserve"> pts – Full contract in place + rich/complete energy data provided </w:t>
            </w:r>
          </w:p>
          <w:p w14:paraId="3FECB5EC" w14:textId="7F24C0B2" w:rsidR="002E2BE3" w:rsidRPr="003275E0" w:rsidRDefault="4C54B815" w:rsidP="00CB3CFE">
            <w:pPr>
              <w:spacing w:after="120"/>
              <w:jc w:val="both"/>
              <w:rPr>
                <w:sz w:val="18"/>
                <w:szCs w:val="18"/>
                <w:lang w:val="en-US"/>
              </w:rPr>
            </w:pPr>
            <w:r w:rsidRPr="30E9E5A7">
              <w:rPr>
                <w:sz w:val="18"/>
                <w:szCs w:val="18"/>
                <w:lang w:val="en-US"/>
              </w:rPr>
              <w:t>7</w:t>
            </w:r>
            <w:r w:rsidR="002E2BE3" w:rsidRPr="003275E0">
              <w:rPr>
                <w:sz w:val="18"/>
                <w:szCs w:val="18"/>
                <w:lang w:val="en-US"/>
              </w:rPr>
              <w:t xml:space="preserve"> pts – Draft agreement + partial but relevant data </w:t>
            </w:r>
          </w:p>
          <w:p w14:paraId="2A9B09A9" w14:textId="45000D6A" w:rsidR="002E2BE3" w:rsidRPr="003275E0" w:rsidRDefault="00C6AB72" w:rsidP="006F68A5">
            <w:pPr>
              <w:spacing w:after="120"/>
              <w:jc w:val="both"/>
              <w:rPr>
                <w:sz w:val="18"/>
                <w:szCs w:val="18"/>
                <w:lang w:val="en-US"/>
              </w:rPr>
            </w:pPr>
            <w:r w:rsidRPr="30E9E5A7">
              <w:rPr>
                <w:sz w:val="18"/>
                <w:szCs w:val="18"/>
                <w:lang w:val="en-US"/>
              </w:rPr>
              <w:t>3</w:t>
            </w:r>
            <w:r w:rsidR="002E2BE3" w:rsidRPr="003275E0">
              <w:rPr>
                <w:sz w:val="18"/>
                <w:szCs w:val="18"/>
                <w:lang w:val="en-US"/>
              </w:rPr>
              <w:t xml:space="preserve"> pts – Intention to contract + basic data </w:t>
            </w:r>
          </w:p>
        </w:tc>
      </w:tr>
      <w:tr w:rsidR="002E2BE3" w:rsidRPr="00C1701A" w14:paraId="005DF33B" w14:textId="77777777" w:rsidTr="00514A1A">
        <w:tc>
          <w:tcPr>
            <w:tcW w:w="481" w:type="dxa"/>
          </w:tcPr>
          <w:p w14:paraId="3D3F5875" w14:textId="77777777" w:rsidR="002E2BE3" w:rsidRPr="003275E0" w:rsidRDefault="002E2BE3" w:rsidP="00CB3CFE">
            <w:pPr>
              <w:pStyle w:val="ListParagraph"/>
              <w:numPr>
                <w:ilvl w:val="0"/>
                <w:numId w:val="17"/>
              </w:numPr>
              <w:tabs>
                <w:tab w:val="left" w:pos="512"/>
                <w:tab w:val="left" w:pos="602"/>
              </w:tabs>
              <w:spacing w:after="120"/>
              <w:ind w:left="763" w:hanging="791"/>
              <w:jc w:val="both"/>
              <w:rPr>
                <w:sz w:val="18"/>
                <w:szCs w:val="18"/>
                <w:lang w:val="en-US"/>
              </w:rPr>
            </w:pPr>
          </w:p>
        </w:tc>
        <w:tc>
          <w:tcPr>
            <w:tcW w:w="2180" w:type="dxa"/>
          </w:tcPr>
          <w:p w14:paraId="423155D9" w14:textId="157F8901" w:rsidR="002E2BE3" w:rsidRPr="003C6432" w:rsidRDefault="002E2BE3" w:rsidP="00CB3CFE">
            <w:pPr>
              <w:spacing w:after="120"/>
              <w:jc w:val="both"/>
              <w:rPr>
                <w:sz w:val="18"/>
                <w:szCs w:val="18"/>
                <w:lang w:val="en-US"/>
              </w:rPr>
            </w:pPr>
            <w:r w:rsidRPr="003C6432">
              <w:rPr>
                <w:sz w:val="18"/>
                <w:szCs w:val="18"/>
                <w:lang w:val="en-US"/>
              </w:rPr>
              <w:t>Commitment to post-audit actions and management systems</w:t>
            </w:r>
          </w:p>
        </w:tc>
        <w:tc>
          <w:tcPr>
            <w:tcW w:w="2780" w:type="dxa"/>
          </w:tcPr>
          <w:p w14:paraId="79B73B66" w14:textId="23A8B1C9" w:rsidR="002E2BE3" w:rsidRPr="003C6432" w:rsidRDefault="00651716" w:rsidP="00CB3CFE">
            <w:pPr>
              <w:spacing w:after="120"/>
              <w:jc w:val="both"/>
              <w:rPr>
                <w:sz w:val="18"/>
                <w:szCs w:val="18"/>
                <w:lang w:val="en-US"/>
              </w:rPr>
            </w:pPr>
            <w:r w:rsidRPr="003C6432">
              <w:rPr>
                <w:sz w:val="18"/>
                <w:szCs w:val="18"/>
                <w:lang w:val="en-US"/>
              </w:rPr>
              <w:t xml:space="preserve">demonstrate that they have initiated the adoption of </w:t>
            </w:r>
            <w:proofErr w:type="gramStart"/>
            <w:r w:rsidRPr="003C6432">
              <w:rPr>
                <w:sz w:val="18"/>
                <w:szCs w:val="18"/>
                <w:lang w:val="en-US"/>
              </w:rPr>
              <w:t>the energy</w:t>
            </w:r>
            <w:proofErr w:type="gramEnd"/>
            <w:r w:rsidRPr="003C6432">
              <w:rPr>
                <w:sz w:val="18"/>
                <w:szCs w:val="18"/>
                <w:lang w:val="en-US"/>
              </w:rPr>
              <w:t xml:space="preserve"> efficiency-related ISO standards (such as ISO 50001) </w:t>
            </w:r>
            <w:r w:rsidR="002E2BE3" w:rsidRPr="003C6432">
              <w:rPr>
                <w:sz w:val="18"/>
                <w:szCs w:val="18"/>
                <w:lang w:val="en-US"/>
              </w:rPr>
              <w:t>(qualifies for additional USD 4,000 support); linkage to national programs or future investments</w:t>
            </w:r>
          </w:p>
        </w:tc>
        <w:tc>
          <w:tcPr>
            <w:tcW w:w="3938" w:type="dxa"/>
          </w:tcPr>
          <w:p w14:paraId="19D7BDF4" w14:textId="2E0F6CF5" w:rsidR="002E2BE3" w:rsidRPr="003C6432" w:rsidRDefault="1CEFBE63" w:rsidP="00CB3CFE">
            <w:pPr>
              <w:spacing w:after="120"/>
              <w:jc w:val="both"/>
              <w:rPr>
                <w:sz w:val="18"/>
                <w:szCs w:val="18"/>
                <w:lang w:val="en-US"/>
              </w:rPr>
            </w:pPr>
            <w:r w:rsidRPr="30E9E5A7">
              <w:rPr>
                <w:sz w:val="18"/>
                <w:szCs w:val="18"/>
                <w:lang w:val="en-US"/>
              </w:rPr>
              <w:t>1</w:t>
            </w:r>
            <w:r w:rsidR="002E2BE3" w:rsidRPr="003C6432">
              <w:rPr>
                <w:sz w:val="18"/>
                <w:szCs w:val="18"/>
                <w:lang w:val="en-US"/>
              </w:rPr>
              <w:t xml:space="preserve">0 pts – Strong commitment (board/management decision + clear plan for ISO 50001 / implementation) </w:t>
            </w:r>
          </w:p>
          <w:p w14:paraId="63CCBD99" w14:textId="20D3B77E" w:rsidR="002E2BE3" w:rsidRPr="003C6432" w:rsidRDefault="2A3E1426" w:rsidP="00CB3CFE">
            <w:pPr>
              <w:spacing w:after="120"/>
              <w:jc w:val="both"/>
              <w:rPr>
                <w:sz w:val="18"/>
                <w:szCs w:val="18"/>
                <w:lang w:val="en-US"/>
              </w:rPr>
            </w:pPr>
            <w:r w:rsidRPr="30E9E5A7">
              <w:rPr>
                <w:sz w:val="18"/>
                <w:szCs w:val="18"/>
                <w:lang w:val="en-US"/>
              </w:rPr>
              <w:t>7</w:t>
            </w:r>
            <w:r w:rsidR="002E2BE3" w:rsidRPr="003C6432">
              <w:rPr>
                <w:sz w:val="18"/>
                <w:szCs w:val="18"/>
                <w:lang w:val="en-US"/>
              </w:rPr>
              <w:t xml:space="preserve"> pts – Moderate commitment (documented intention) </w:t>
            </w:r>
          </w:p>
          <w:p w14:paraId="4F9BD220" w14:textId="753310FF" w:rsidR="002E2BE3" w:rsidRPr="003C6432" w:rsidRDefault="3EAF7A0E" w:rsidP="00CB3CFE">
            <w:pPr>
              <w:spacing w:after="120"/>
              <w:jc w:val="both"/>
              <w:rPr>
                <w:sz w:val="18"/>
                <w:szCs w:val="18"/>
                <w:lang w:val="en-US"/>
              </w:rPr>
            </w:pPr>
            <w:r w:rsidRPr="30E9E5A7">
              <w:rPr>
                <w:sz w:val="18"/>
                <w:szCs w:val="18"/>
                <w:lang w:val="en-US"/>
              </w:rPr>
              <w:t>3</w:t>
            </w:r>
            <w:r w:rsidR="002E2BE3" w:rsidRPr="003C6432">
              <w:rPr>
                <w:sz w:val="18"/>
                <w:szCs w:val="18"/>
                <w:lang w:val="en-US"/>
              </w:rPr>
              <w:t xml:space="preserve"> pts – Basic expression of interest </w:t>
            </w:r>
          </w:p>
          <w:p w14:paraId="056EA288" w14:textId="40928241" w:rsidR="002E2BE3" w:rsidRPr="003C6432" w:rsidRDefault="002E2BE3" w:rsidP="00CB3CFE">
            <w:pPr>
              <w:spacing w:after="120"/>
              <w:jc w:val="both"/>
              <w:rPr>
                <w:sz w:val="18"/>
                <w:szCs w:val="18"/>
                <w:lang w:val="en-US"/>
              </w:rPr>
            </w:pPr>
            <w:r w:rsidRPr="003C6432">
              <w:rPr>
                <w:sz w:val="18"/>
                <w:szCs w:val="18"/>
                <w:lang w:val="en-US"/>
              </w:rPr>
              <w:t>0 pts – No evidence provided</w:t>
            </w:r>
          </w:p>
        </w:tc>
      </w:tr>
      <w:tr w:rsidR="002E2BE3" w:rsidRPr="003275E0" w14:paraId="540951BB" w14:textId="77777777" w:rsidTr="00514A1A">
        <w:tc>
          <w:tcPr>
            <w:tcW w:w="481" w:type="dxa"/>
          </w:tcPr>
          <w:p w14:paraId="722E10B2" w14:textId="77777777" w:rsidR="002E2BE3" w:rsidRPr="003275E0" w:rsidRDefault="002E2BE3" w:rsidP="00CB3CFE">
            <w:pPr>
              <w:pStyle w:val="ListParagraph"/>
              <w:numPr>
                <w:ilvl w:val="0"/>
                <w:numId w:val="17"/>
              </w:numPr>
              <w:tabs>
                <w:tab w:val="left" w:pos="512"/>
                <w:tab w:val="left" w:pos="602"/>
              </w:tabs>
              <w:spacing w:after="120"/>
              <w:ind w:left="763" w:hanging="791"/>
              <w:jc w:val="both"/>
              <w:rPr>
                <w:sz w:val="18"/>
                <w:szCs w:val="18"/>
                <w:lang w:val="en-US"/>
              </w:rPr>
            </w:pPr>
          </w:p>
        </w:tc>
        <w:tc>
          <w:tcPr>
            <w:tcW w:w="2180" w:type="dxa"/>
          </w:tcPr>
          <w:p w14:paraId="6C43603E" w14:textId="45186E52" w:rsidR="002E2BE3" w:rsidRPr="003275E0" w:rsidRDefault="002E2BE3" w:rsidP="00CB3CFE">
            <w:pPr>
              <w:spacing w:after="120"/>
              <w:jc w:val="both"/>
              <w:rPr>
                <w:sz w:val="18"/>
                <w:szCs w:val="18"/>
                <w:lang w:val="en-US"/>
              </w:rPr>
            </w:pPr>
            <w:r w:rsidRPr="003275E0">
              <w:rPr>
                <w:sz w:val="18"/>
                <w:szCs w:val="18"/>
                <w:lang w:val="en-US"/>
              </w:rPr>
              <w:t>Gender equality and inclusive governance</w:t>
            </w:r>
          </w:p>
        </w:tc>
        <w:tc>
          <w:tcPr>
            <w:tcW w:w="2780" w:type="dxa"/>
          </w:tcPr>
          <w:p w14:paraId="6FD013CC" w14:textId="554D09D1" w:rsidR="002E2BE3" w:rsidRPr="003275E0" w:rsidRDefault="002E2BE3" w:rsidP="00CB3CFE">
            <w:pPr>
              <w:spacing w:after="120"/>
              <w:jc w:val="both"/>
              <w:rPr>
                <w:sz w:val="18"/>
                <w:szCs w:val="18"/>
                <w:lang w:val="en-US"/>
              </w:rPr>
            </w:pPr>
            <w:r w:rsidRPr="003275E0">
              <w:rPr>
                <w:sz w:val="18"/>
                <w:szCs w:val="18"/>
                <w:lang w:val="en-US"/>
              </w:rPr>
              <w:t>Evidence of women in leadership positions or gender-balanced decision-making structures (organizational charts, declarations, data on senior management)</w:t>
            </w:r>
          </w:p>
        </w:tc>
        <w:tc>
          <w:tcPr>
            <w:tcW w:w="3938" w:type="dxa"/>
          </w:tcPr>
          <w:p w14:paraId="4EDE75B5" w14:textId="431FF7A1" w:rsidR="002E2BE3" w:rsidRPr="003275E0" w:rsidRDefault="42F65548" w:rsidP="00CB3CFE">
            <w:pPr>
              <w:spacing w:after="120"/>
              <w:jc w:val="both"/>
              <w:rPr>
                <w:sz w:val="18"/>
                <w:szCs w:val="18"/>
                <w:lang w:val="en-US"/>
              </w:rPr>
            </w:pPr>
            <w:r w:rsidRPr="53F9B7CF">
              <w:rPr>
                <w:sz w:val="18"/>
                <w:szCs w:val="18"/>
                <w:lang w:val="en-US"/>
              </w:rPr>
              <w:t>5</w:t>
            </w:r>
            <w:r w:rsidR="002E2BE3" w:rsidRPr="003275E0">
              <w:rPr>
                <w:sz w:val="18"/>
                <w:szCs w:val="18"/>
                <w:lang w:val="en-US"/>
              </w:rPr>
              <w:t xml:space="preserve"> pts – Women in top management (≥30% in leadership) or strong gender equality measures </w:t>
            </w:r>
          </w:p>
          <w:p w14:paraId="1030F6C7" w14:textId="3C6BB208" w:rsidR="002E2BE3" w:rsidRPr="003275E0" w:rsidRDefault="5DA008F5" w:rsidP="00CB3CFE">
            <w:pPr>
              <w:spacing w:after="120"/>
              <w:jc w:val="both"/>
              <w:rPr>
                <w:sz w:val="18"/>
                <w:szCs w:val="18"/>
                <w:lang w:val="en-US"/>
              </w:rPr>
            </w:pPr>
            <w:r w:rsidRPr="53F9B7CF">
              <w:rPr>
                <w:sz w:val="18"/>
                <w:szCs w:val="18"/>
                <w:lang w:val="en-US"/>
              </w:rPr>
              <w:t>3</w:t>
            </w:r>
            <w:r w:rsidR="002E2BE3" w:rsidRPr="003275E0">
              <w:rPr>
                <w:sz w:val="18"/>
                <w:szCs w:val="18"/>
                <w:lang w:val="en-US"/>
              </w:rPr>
              <w:t xml:space="preserve"> pts – Women represented in middle/senior positions </w:t>
            </w:r>
          </w:p>
          <w:p w14:paraId="1C945AE5" w14:textId="22541EDE" w:rsidR="002E2BE3" w:rsidRPr="003275E0" w:rsidRDefault="002E2BE3" w:rsidP="00CB3CFE">
            <w:pPr>
              <w:spacing w:after="120"/>
              <w:jc w:val="both"/>
              <w:rPr>
                <w:sz w:val="18"/>
                <w:szCs w:val="18"/>
                <w:lang w:val="en-US"/>
              </w:rPr>
            </w:pPr>
            <w:r w:rsidRPr="003275E0">
              <w:rPr>
                <w:sz w:val="18"/>
                <w:szCs w:val="18"/>
                <w:lang w:val="en-US"/>
              </w:rPr>
              <w:t>0 pts – No evidence provided</w:t>
            </w:r>
          </w:p>
        </w:tc>
      </w:tr>
    </w:tbl>
    <w:p w14:paraId="544DCB98" w14:textId="77777777" w:rsidR="001A6E4D" w:rsidRPr="003275E0" w:rsidRDefault="001A6E4D" w:rsidP="00CB3CFE">
      <w:pPr>
        <w:spacing w:after="120"/>
        <w:jc w:val="both"/>
        <w:rPr>
          <w:sz w:val="24"/>
          <w:szCs w:val="24"/>
          <w:lang w:val="en-US"/>
        </w:rPr>
      </w:pPr>
    </w:p>
    <w:p w14:paraId="4A7BB254" w14:textId="08C230A6" w:rsidR="00B079C8" w:rsidRPr="003275E0" w:rsidRDefault="007B0DCA" w:rsidP="00CB3CFE">
      <w:pPr>
        <w:spacing w:after="120"/>
        <w:ind w:left="540" w:hanging="540"/>
        <w:jc w:val="center"/>
        <w:rPr>
          <w:b/>
          <w:bCs/>
          <w:sz w:val="24"/>
          <w:szCs w:val="24"/>
          <w:lang w:val="en-US"/>
        </w:rPr>
      </w:pPr>
      <w:r w:rsidRPr="003275E0">
        <w:rPr>
          <w:b/>
          <w:bCs/>
          <w:sz w:val="24"/>
          <w:szCs w:val="24"/>
          <w:lang w:val="en-US"/>
        </w:rPr>
        <w:t>V.</w:t>
      </w:r>
      <w:r w:rsidRPr="003275E0">
        <w:rPr>
          <w:b/>
          <w:bCs/>
          <w:sz w:val="24"/>
          <w:szCs w:val="24"/>
          <w:lang w:val="en-US"/>
        </w:rPr>
        <w:tab/>
      </w:r>
      <w:r w:rsidR="00B079C8" w:rsidRPr="003275E0">
        <w:rPr>
          <w:b/>
          <w:bCs/>
          <w:sz w:val="24"/>
          <w:szCs w:val="24"/>
          <w:lang w:val="en-US"/>
        </w:rPr>
        <w:t>PROJECT COSTS</w:t>
      </w:r>
    </w:p>
    <w:p w14:paraId="3D14250E" w14:textId="7D0F9D51" w:rsidR="0022755E" w:rsidRPr="003275E0" w:rsidRDefault="007A1881" w:rsidP="00CB3CFE">
      <w:pPr>
        <w:numPr>
          <w:ilvl w:val="0"/>
          <w:numId w:val="20"/>
        </w:numPr>
        <w:tabs>
          <w:tab w:val="clear" w:pos="720"/>
          <w:tab w:val="num" w:pos="360"/>
        </w:tabs>
        <w:spacing w:after="120"/>
        <w:ind w:left="360"/>
        <w:jc w:val="both"/>
        <w:rPr>
          <w:sz w:val="24"/>
          <w:szCs w:val="24"/>
          <w:lang w:val="en-US"/>
        </w:rPr>
      </w:pPr>
      <w:r w:rsidRPr="003275E0">
        <w:rPr>
          <w:sz w:val="24"/>
          <w:szCs w:val="24"/>
          <w:lang w:val="en-US"/>
        </w:rPr>
        <w:t xml:space="preserve">The costs of conducting the mandatory energy audits </w:t>
      </w:r>
      <w:r w:rsidR="00EC5BB0" w:rsidRPr="00EC5BB0">
        <w:rPr>
          <w:sz w:val="24"/>
          <w:szCs w:val="24"/>
          <w:lang w:val="en-US"/>
        </w:rPr>
        <w:t>will be supported through performance-based payments funded by</w:t>
      </w:r>
      <w:r w:rsidRPr="003275E0">
        <w:rPr>
          <w:sz w:val="24"/>
          <w:szCs w:val="24"/>
          <w:lang w:val="en-US"/>
        </w:rPr>
        <w:t xml:space="preserve"> the project “Greening the Future, Advancing Rights and Stability: Spurring an Inclusive and Green Transition with Responsive Governance in the Eastern </w:t>
      </w:r>
      <w:proofErr w:type="spellStart"/>
      <w:r w:rsidRPr="003275E0">
        <w:rPr>
          <w:sz w:val="24"/>
          <w:szCs w:val="24"/>
          <w:lang w:val="en-US"/>
        </w:rPr>
        <w:t>Neighbourhood</w:t>
      </w:r>
      <w:proofErr w:type="spellEnd"/>
      <w:r w:rsidRPr="003275E0">
        <w:rPr>
          <w:sz w:val="24"/>
          <w:szCs w:val="24"/>
          <w:lang w:val="en-US"/>
        </w:rPr>
        <w:t xml:space="preserve"> Region”, implemented by UNDP Moldova with the financial support of the Government of Denmark.</w:t>
      </w:r>
    </w:p>
    <w:p w14:paraId="32CD45BA" w14:textId="314FAA92" w:rsidR="00AE5BAE" w:rsidRPr="003275E0" w:rsidRDefault="007A1881" w:rsidP="00CB3CFE">
      <w:pPr>
        <w:numPr>
          <w:ilvl w:val="0"/>
          <w:numId w:val="20"/>
        </w:numPr>
        <w:tabs>
          <w:tab w:val="clear" w:pos="720"/>
          <w:tab w:val="num" w:pos="360"/>
        </w:tabs>
        <w:spacing w:after="120"/>
        <w:ind w:left="360"/>
        <w:jc w:val="both"/>
        <w:rPr>
          <w:sz w:val="24"/>
          <w:szCs w:val="24"/>
          <w:lang w:val="en-US"/>
        </w:rPr>
      </w:pPr>
      <w:r w:rsidRPr="003275E0">
        <w:rPr>
          <w:sz w:val="24"/>
          <w:szCs w:val="24"/>
          <w:lang w:val="en-US"/>
        </w:rPr>
        <w:t xml:space="preserve">UNDP will </w:t>
      </w:r>
      <w:r w:rsidR="00EC3ABC">
        <w:rPr>
          <w:sz w:val="24"/>
          <w:szCs w:val="24"/>
          <w:lang w:val="en-US"/>
        </w:rPr>
        <w:t>make performance-based payment</w:t>
      </w:r>
      <w:r w:rsidR="008234F9">
        <w:rPr>
          <w:sz w:val="24"/>
          <w:szCs w:val="24"/>
          <w:lang w:val="en-US"/>
        </w:rPr>
        <w:t>s</w:t>
      </w:r>
      <w:r w:rsidR="00EC3ABC" w:rsidRPr="003275E0">
        <w:rPr>
          <w:sz w:val="24"/>
          <w:szCs w:val="24"/>
          <w:lang w:val="en-US"/>
        </w:rPr>
        <w:t xml:space="preserve"> </w:t>
      </w:r>
      <w:r w:rsidRPr="003275E0">
        <w:rPr>
          <w:sz w:val="24"/>
          <w:szCs w:val="24"/>
          <w:lang w:val="en-US"/>
        </w:rPr>
        <w:t xml:space="preserve">up to </w:t>
      </w:r>
      <w:r w:rsidRPr="003275E0">
        <w:rPr>
          <w:b/>
          <w:bCs/>
          <w:sz w:val="24"/>
          <w:szCs w:val="24"/>
          <w:lang w:val="en-US"/>
        </w:rPr>
        <w:t>USD 10,000</w:t>
      </w:r>
      <w:r w:rsidR="00864C7E" w:rsidRPr="003275E0">
        <w:rPr>
          <w:b/>
          <w:bCs/>
          <w:sz w:val="24"/>
          <w:szCs w:val="24"/>
          <w:lang w:val="en-US"/>
        </w:rPr>
        <w:t xml:space="preserve">, </w:t>
      </w:r>
      <w:r w:rsidR="00864C7E" w:rsidRPr="003275E0">
        <w:rPr>
          <w:sz w:val="24"/>
          <w:szCs w:val="24"/>
          <w:lang w:val="en-US"/>
        </w:rPr>
        <w:t>but no more than 50% of the contract cost for energy audit development services</w:t>
      </w:r>
      <w:r w:rsidRPr="003275E0">
        <w:rPr>
          <w:sz w:val="24"/>
          <w:szCs w:val="24"/>
          <w:lang w:val="en-US"/>
        </w:rPr>
        <w:t xml:space="preserve"> per selected enterprise for the validated energy audit report, following official validation of the report by the National Centre for Sustainable Energy (CNED). </w:t>
      </w:r>
      <w:r w:rsidR="00252161">
        <w:rPr>
          <w:sz w:val="24"/>
          <w:szCs w:val="24"/>
          <w:lang w:val="en-US"/>
        </w:rPr>
        <w:t>Payment</w:t>
      </w:r>
      <w:r w:rsidR="00252161" w:rsidRPr="003275E0">
        <w:rPr>
          <w:sz w:val="24"/>
          <w:szCs w:val="24"/>
          <w:lang w:val="en-US"/>
        </w:rPr>
        <w:t xml:space="preserve"> </w:t>
      </w:r>
      <w:r w:rsidRPr="003275E0">
        <w:rPr>
          <w:sz w:val="24"/>
          <w:szCs w:val="24"/>
          <w:lang w:val="en-US"/>
        </w:rPr>
        <w:t>will be processed only after the enterprise submits proof of payment to the audit provider and CNED confirmation of report quality and compliance</w:t>
      </w:r>
      <w:r w:rsidR="00AE5BAE" w:rsidRPr="003275E0">
        <w:rPr>
          <w:sz w:val="24"/>
          <w:szCs w:val="24"/>
          <w:lang w:val="en-US"/>
        </w:rPr>
        <w:t>.</w:t>
      </w:r>
    </w:p>
    <w:p w14:paraId="3493A96A" w14:textId="2739ED70" w:rsidR="007A1881" w:rsidRPr="003275E0" w:rsidRDefault="007A1881" w:rsidP="00CB3CFE">
      <w:pPr>
        <w:numPr>
          <w:ilvl w:val="0"/>
          <w:numId w:val="20"/>
        </w:numPr>
        <w:tabs>
          <w:tab w:val="clear" w:pos="720"/>
          <w:tab w:val="num" w:pos="360"/>
        </w:tabs>
        <w:spacing w:after="120"/>
        <w:ind w:left="360"/>
        <w:jc w:val="both"/>
        <w:rPr>
          <w:sz w:val="24"/>
          <w:szCs w:val="24"/>
          <w:lang w:val="en-US"/>
        </w:rPr>
      </w:pPr>
      <w:r w:rsidRPr="003275E0">
        <w:rPr>
          <w:sz w:val="24"/>
          <w:szCs w:val="24"/>
          <w:lang w:val="en-US"/>
        </w:rPr>
        <w:t xml:space="preserve">In addition, if the selected </w:t>
      </w:r>
      <w:r w:rsidR="00AE5BAE" w:rsidRPr="003275E0">
        <w:rPr>
          <w:sz w:val="24"/>
          <w:szCs w:val="24"/>
          <w:lang w:val="en-US"/>
        </w:rPr>
        <w:t xml:space="preserve">companies </w:t>
      </w:r>
      <w:r w:rsidR="00E878FB" w:rsidRPr="003275E0">
        <w:rPr>
          <w:sz w:val="24"/>
          <w:szCs w:val="24"/>
          <w:lang w:val="en-US"/>
        </w:rPr>
        <w:t>demonstrate</w:t>
      </w:r>
      <w:r w:rsidR="00AE5BAE" w:rsidRPr="003275E0">
        <w:rPr>
          <w:sz w:val="24"/>
          <w:szCs w:val="24"/>
          <w:lang w:val="en-US"/>
        </w:rPr>
        <w:t xml:space="preserve"> that they have initiated the adoption of </w:t>
      </w:r>
      <w:r w:rsidR="00E878FB" w:rsidRPr="003275E0">
        <w:rPr>
          <w:sz w:val="24"/>
          <w:szCs w:val="24"/>
          <w:lang w:val="en-US"/>
        </w:rPr>
        <w:t>energy</w:t>
      </w:r>
      <w:r w:rsidR="00AE5BAE" w:rsidRPr="003275E0">
        <w:rPr>
          <w:sz w:val="24"/>
          <w:szCs w:val="24"/>
          <w:lang w:val="en-US"/>
        </w:rPr>
        <w:t xml:space="preserve"> efficiency-related ISO standards (such as ISO 50001)</w:t>
      </w:r>
      <w:r w:rsidRPr="003275E0">
        <w:rPr>
          <w:sz w:val="24"/>
          <w:szCs w:val="24"/>
          <w:lang w:val="en-US"/>
        </w:rPr>
        <w:t xml:space="preserve"> and/or related energy efficiency standards, UNDP will provide targeted technical support </w:t>
      </w:r>
      <w:proofErr w:type="gramStart"/>
      <w:r w:rsidRPr="003275E0">
        <w:rPr>
          <w:sz w:val="24"/>
          <w:szCs w:val="24"/>
          <w:lang w:val="en-US"/>
        </w:rPr>
        <w:t>of</w:t>
      </w:r>
      <w:proofErr w:type="gramEnd"/>
      <w:r w:rsidRPr="003275E0">
        <w:rPr>
          <w:sz w:val="24"/>
          <w:szCs w:val="24"/>
          <w:lang w:val="en-US"/>
        </w:rPr>
        <w:t xml:space="preserve"> up to </w:t>
      </w:r>
      <w:r w:rsidRPr="003275E0">
        <w:rPr>
          <w:b/>
          <w:bCs/>
          <w:sz w:val="24"/>
          <w:szCs w:val="24"/>
          <w:lang w:val="en-US"/>
        </w:rPr>
        <w:t>USD 4,000</w:t>
      </w:r>
      <w:r w:rsidRPr="003275E0">
        <w:rPr>
          <w:sz w:val="24"/>
          <w:szCs w:val="24"/>
          <w:lang w:val="en-US"/>
        </w:rPr>
        <w:t xml:space="preserve"> per enterprise (e.g., consultancy, training, or preparatory assistance for implementation). This additional support is conditional on documented commitment and is not guaranteed.</w:t>
      </w:r>
    </w:p>
    <w:p w14:paraId="1FD72911" w14:textId="584F7F59" w:rsidR="007A1881" w:rsidRPr="003275E0" w:rsidRDefault="007A1881" w:rsidP="00CB3CFE">
      <w:pPr>
        <w:numPr>
          <w:ilvl w:val="0"/>
          <w:numId w:val="20"/>
        </w:numPr>
        <w:tabs>
          <w:tab w:val="clear" w:pos="720"/>
          <w:tab w:val="num" w:pos="360"/>
        </w:tabs>
        <w:spacing w:after="120"/>
        <w:ind w:left="360"/>
        <w:jc w:val="both"/>
        <w:rPr>
          <w:sz w:val="24"/>
          <w:szCs w:val="24"/>
          <w:lang w:val="en-US"/>
        </w:rPr>
      </w:pPr>
      <w:r w:rsidRPr="003275E0">
        <w:rPr>
          <w:sz w:val="24"/>
          <w:szCs w:val="24"/>
          <w:lang w:val="en-US"/>
        </w:rPr>
        <w:t xml:space="preserve">The total estimated budget allocated for this intervention is </w:t>
      </w:r>
      <w:r w:rsidRPr="003275E0">
        <w:rPr>
          <w:b/>
          <w:bCs/>
          <w:sz w:val="24"/>
          <w:szCs w:val="24"/>
          <w:lang w:val="en-US"/>
        </w:rPr>
        <w:t>USD 70,000</w:t>
      </w:r>
      <w:r w:rsidRPr="003275E0">
        <w:rPr>
          <w:sz w:val="24"/>
          <w:szCs w:val="24"/>
          <w:lang w:val="en-US"/>
        </w:rPr>
        <w:t xml:space="preserve">, covering </w:t>
      </w:r>
      <w:r w:rsidR="00D24262">
        <w:rPr>
          <w:sz w:val="24"/>
          <w:szCs w:val="24"/>
          <w:lang w:val="en-US"/>
        </w:rPr>
        <w:t>performance-based payments</w:t>
      </w:r>
      <w:r w:rsidRPr="003275E0">
        <w:rPr>
          <w:sz w:val="24"/>
          <w:szCs w:val="24"/>
          <w:lang w:val="en-US"/>
        </w:rPr>
        <w:t xml:space="preserve"> and additional support for up to five (5) selected large state-owned or municipal enterprises.</w:t>
      </w:r>
    </w:p>
    <w:p w14:paraId="26180B7E" w14:textId="23625CEE" w:rsidR="007A1881" w:rsidRPr="003275E0" w:rsidRDefault="007A1881" w:rsidP="00CB3CFE">
      <w:pPr>
        <w:numPr>
          <w:ilvl w:val="0"/>
          <w:numId w:val="20"/>
        </w:numPr>
        <w:tabs>
          <w:tab w:val="clear" w:pos="720"/>
          <w:tab w:val="num" w:pos="360"/>
        </w:tabs>
        <w:spacing w:after="120"/>
        <w:ind w:left="360"/>
        <w:jc w:val="both"/>
        <w:rPr>
          <w:sz w:val="24"/>
          <w:szCs w:val="24"/>
          <w:lang w:val="en-US"/>
        </w:rPr>
      </w:pPr>
      <w:r w:rsidRPr="003275E0">
        <w:rPr>
          <w:sz w:val="24"/>
          <w:szCs w:val="24"/>
          <w:lang w:val="en-US"/>
        </w:rPr>
        <w:t>UNDP Moldova will manage all processes related to verification</w:t>
      </w:r>
      <w:r w:rsidR="004F3618">
        <w:rPr>
          <w:sz w:val="24"/>
          <w:szCs w:val="24"/>
          <w:lang w:val="en-US"/>
        </w:rPr>
        <w:t xml:space="preserve"> of results</w:t>
      </w:r>
      <w:r w:rsidRPr="003275E0">
        <w:rPr>
          <w:sz w:val="24"/>
          <w:szCs w:val="24"/>
          <w:lang w:val="en-US"/>
        </w:rPr>
        <w:t xml:space="preserve">, </w:t>
      </w:r>
      <w:r w:rsidR="00402F1C" w:rsidRPr="00402F1C">
        <w:rPr>
          <w:sz w:val="24"/>
          <w:szCs w:val="24"/>
          <w:lang w:val="en-US"/>
        </w:rPr>
        <w:t>processing of performance-based payments</w:t>
      </w:r>
      <w:r w:rsidRPr="003275E0">
        <w:rPr>
          <w:sz w:val="24"/>
          <w:szCs w:val="24"/>
          <w:lang w:val="en-US"/>
        </w:rPr>
        <w:t xml:space="preserve">, and coordination with CNED for report validation. </w:t>
      </w:r>
    </w:p>
    <w:p w14:paraId="037DAF3A" w14:textId="77777777" w:rsidR="007A1881" w:rsidRPr="003275E0" w:rsidRDefault="007A1881" w:rsidP="00CB3CFE">
      <w:pPr>
        <w:numPr>
          <w:ilvl w:val="0"/>
          <w:numId w:val="20"/>
        </w:numPr>
        <w:tabs>
          <w:tab w:val="clear" w:pos="720"/>
          <w:tab w:val="num" w:pos="360"/>
        </w:tabs>
        <w:spacing w:after="120"/>
        <w:ind w:left="360"/>
        <w:jc w:val="both"/>
        <w:rPr>
          <w:sz w:val="24"/>
          <w:szCs w:val="24"/>
          <w:lang w:val="en-US"/>
        </w:rPr>
      </w:pPr>
      <w:r w:rsidRPr="003275E0">
        <w:rPr>
          <w:sz w:val="24"/>
          <w:szCs w:val="24"/>
          <w:lang w:val="en-US"/>
        </w:rPr>
        <w:t xml:space="preserve">Participation in this program does </w:t>
      </w:r>
      <w:r w:rsidRPr="003275E0">
        <w:rPr>
          <w:b/>
          <w:bCs/>
          <w:sz w:val="24"/>
          <w:szCs w:val="24"/>
          <w:lang w:val="en-US"/>
        </w:rPr>
        <w:t>not</w:t>
      </w:r>
      <w:r w:rsidRPr="003275E0">
        <w:rPr>
          <w:sz w:val="24"/>
          <w:szCs w:val="24"/>
          <w:lang w:val="en-US"/>
        </w:rPr>
        <w:t xml:space="preserve"> provide direct grants for the implementation of energy efficiency measures recommended in the audit report. Any subsequent investments (e.g., </w:t>
      </w:r>
      <w:r w:rsidRPr="003275E0">
        <w:rPr>
          <w:sz w:val="24"/>
          <w:szCs w:val="24"/>
          <w:lang w:val="en-US"/>
        </w:rPr>
        <w:lastRenderedPageBreak/>
        <w:t>equipment upgrades, renewable energy installations) must be financed from the enterprise’s own resources, national programs, or other external sources.</w:t>
      </w:r>
    </w:p>
    <w:p w14:paraId="07B7FE5E" w14:textId="77777777" w:rsidR="007A1881" w:rsidRPr="003275E0" w:rsidRDefault="007A1881" w:rsidP="00CB3CFE">
      <w:pPr>
        <w:spacing w:after="120"/>
        <w:ind w:left="360" w:hanging="360"/>
        <w:jc w:val="both"/>
        <w:rPr>
          <w:sz w:val="24"/>
          <w:szCs w:val="24"/>
          <w:lang w:val="en-US"/>
        </w:rPr>
      </w:pPr>
      <w:r w:rsidRPr="003275E0">
        <w:rPr>
          <w:b/>
          <w:bCs/>
          <w:sz w:val="24"/>
          <w:szCs w:val="24"/>
          <w:lang w:val="en-US"/>
        </w:rPr>
        <w:t>Important notes:</w:t>
      </w:r>
    </w:p>
    <w:p w14:paraId="38A61BC3" w14:textId="33D94C4F" w:rsidR="007A1881" w:rsidRPr="003275E0" w:rsidRDefault="00FE65C4" w:rsidP="00CB3CFE">
      <w:pPr>
        <w:numPr>
          <w:ilvl w:val="0"/>
          <w:numId w:val="21"/>
        </w:numPr>
        <w:tabs>
          <w:tab w:val="clear" w:pos="720"/>
          <w:tab w:val="num" w:pos="360"/>
        </w:tabs>
        <w:spacing w:after="120"/>
        <w:ind w:left="360"/>
        <w:jc w:val="both"/>
        <w:rPr>
          <w:sz w:val="24"/>
          <w:szCs w:val="24"/>
          <w:lang w:val="en-US"/>
        </w:rPr>
      </w:pPr>
      <w:r w:rsidRPr="00FE65C4">
        <w:rPr>
          <w:sz w:val="24"/>
          <w:szCs w:val="24"/>
          <w:lang w:val="en-US"/>
        </w:rPr>
        <w:t xml:space="preserve">All payments are strictly conditional upon full compliance with the </w:t>
      </w:r>
      <w:r>
        <w:rPr>
          <w:sz w:val="24"/>
          <w:szCs w:val="24"/>
          <w:lang w:val="en-US"/>
        </w:rPr>
        <w:t xml:space="preserve">Low Value </w:t>
      </w:r>
      <w:r w:rsidRPr="00FE65C4">
        <w:rPr>
          <w:sz w:val="24"/>
          <w:szCs w:val="24"/>
          <w:lang w:val="en-US"/>
        </w:rPr>
        <w:t>Performance-Based Payment (PBP) Agreement, including verification of achieved results and validation of deliverables in accordance with agreed indicators</w:t>
      </w:r>
      <w:r w:rsidR="007A1881" w:rsidRPr="533AD3FC">
        <w:rPr>
          <w:sz w:val="24"/>
          <w:szCs w:val="24"/>
          <w:lang w:val="en-US"/>
        </w:rPr>
        <w:t>.</w:t>
      </w:r>
    </w:p>
    <w:p w14:paraId="7AAEF3C8" w14:textId="32514100" w:rsidR="007A1881" w:rsidRPr="003275E0" w:rsidRDefault="007A1881" w:rsidP="00CB3CFE">
      <w:pPr>
        <w:numPr>
          <w:ilvl w:val="0"/>
          <w:numId w:val="21"/>
        </w:numPr>
        <w:tabs>
          <w:tab w:val="clear" w:pos="720"/>
          <w:tab w:val="num" w:pos="360"/>
        </w:tabs>
        <w:spacing w:after="120"/>
        <w:ind w:left="360"/>
        <w:jc w:val="both"/>
        <w:rPr>
          <w:sz w:val="24"/>
          <w:szCs w:val="24"/>
          <w:lang w:val="en-US"/>
        </w:rPr>
      </w:pPr>
      <w:r w:rsidRPr="003275E0">
        <w:rPr>
          <w:sz w:val="24"/>
          <w:szCs w:val="24"/>
          <w:lang w:val="en-US"/>
        </w:rPr>
        <w:t xml:space="preserve">No financial advance payments are provided; all support is performance-based and </w:t>
      </w:r>
      <w:r w:rsidR="001010C8" w:rsidRPr="001010C8">
        <w:rPr>
          <w:sz w:val="24"/>
          <w:szCs w:val="24"/>
          <w:lang w:val="en-US"/>
        </w:rPr>
        <w:t xml:space="preserve">made in arrears upon </w:t>
      </w:r>
      <w:r w:rsidR="001010C8">
        <w:rPr>
          <w:sz w:val="24"/>
          <w:szCs w:val="24"/>
          <w:lang w:val="en-US"/>
        </w:rPr>
        <w:t>validation</w:t>
      </w:r>
      <w:r w:rsidR="001010C8" w:rsidRPr="001010C8">
        <w:rPr>
          <w:sz w:val="24"/>
          <w:szCs w:val="24"/>
          <w:lang w:val="en-US"/>
        </w:rPr>
        <w:t xml:space="preserve"> of results</w:t>
      </w:r>
      <w:r w:rsidRPr="003275E0">
        <w:rPr>
          <w:sz w:val="24"/>
          <w:szCs w:val="24"/>
          <w:lang w:val="en-US"/>
        </w:rPr>
        <w:t>.</w:t>
      </w:r>
    </w:p>
    <w:p w14:paraId="3D10042A" w14:textId="2A755E13" w:rsidR="00B079C8" w:rsidRPr="003275E0" w:rsidRDefault="00B079C8" w:rsidP="00CB3CFE">
      <w:pPr>
        <w:spacing w:after="120"/>
        <w:jc w:val="both"/>
        <w:rPr>
          <w:b/>
          <w:bCs/>
          <w:sz w:val="24"/>
          <w:szCs w:val="24"/>
          <w:lang w:val="en-US"/>
        </w:rPr>
      </w:pPr>
      <w:r w:rsidRPr="003275E0">
        <w:rPr>
          <w:b/>
          <w:bCs/>
          <w:sz w:val="24"/>
          <w:szCs w:val="24"/>
          <w:lang w:val="en-US"/>
        </w:rPr>
        <w:t>NOTE:</w:t>
      </w:r>
    </w:p>
    <w:p w14:paraId="2A7CA0BE" w14:textId="77777777" w:rsidR="00B079C8" w:rsidRPr="003275E0" w:rsidRDefault="00B079C8" w:rsidP="00CB3CFE">
      <w:pPr>
        <w:spacing w:after="120"/>
        <w:jc w:val="both"/>
        <w:rPr>
          <w:sz w:val="24"/>
          <w:szCs w:val="24"/>
          <w:lang w:val="en-US"/>
        </w:rPr>
      </w:pPr>
      <w:r w:rsidRPr="003275E0">
        <w:rPr>
          <w:sz w:val="24"/>
          <w:szCs w:val="24"/>
          <w:lang w:val="en-US"/>
        </w:rPr>
        <w:t>Before submitting your application, please ensure that:</w:t>
      </w:r>
    </w:p>
    <w:p w14:paraId="0A2F5891" w14:textId="77777777" w:rsidR="00B079C8" w:rsidRPr="003275E0" w:rsidRDefault="00B079C8" w:rsidP="00CB3CFE">
      <w:pPr>
        <w:pStyle w:val="ListParagraph"/>
        <w:spacing w:after="120"/>
        <w:ind w:left="360" w:hanging="360"/>
        <w:jc w:val="both"/>
        <w:rPr>
          <w:sz w:val="24"/>
          <w:szCs w:val="24"/>
          <w:lang w:val="en-US"/>
        </w:rPr>
      </w:pPr>
      <w:r w:rsidRPr="003275E0">
        <w:rPr>
          <w:sz w:val="24"/>
          <w:szCs w:val="24"/>
          <w:lang w:val="en-US"/>
        </w:rPr>
        <w:t xml:space="preserve">a.    The forms are completed </w:t>
      </w:r>
      <w:proofErr w:type="gramStart"/>
      <w:r w:rsidRPr="003275E0">
        <w:rPr>
          <w:sz w:val="24"/>
          <w:szCs w:val="24"/>
          <w:lang w:val="en-US"/>
        </w:rPr>
        <w:t>correctly;</w:t>
      </w:r>
      <w:proofErr w:type="gramEnd"/>
    </w:p>
    <w:p w14:paraId="55656759" w14:textId="3EF0D559" w:rsidR="00B079C8" w:rsidRPr="003275E0" w:rsidRDefault="00B079C8" w:rsidP="00CB3CFE">
      <w:pPr>
        <w:pStyle w:val="ListParagraph"/>
        <w:spacing w:after="120"/>
        <w:ind w:left="360" w:hanging="360"/>
        <w:jc w:val="both"/>
        <w:rPr>
          <w:sz w:val="24"/>
          <w:szCs w:val="24"/>
          <w:lang w:val="en-US"/>
        </w:rPr>
      </w:pPr>
      <w:r w:rsidRPr="003275E0">
        <w:rPr>
          <w:sz w:val="24"/>
          <w:szCs w:val="24"/>
          <w:lang w:val="en-US"/>
        </w:rPr>
        <w:t xml:space="preserve">b.    All documents described in point </w:t>
      </w:r>
      <w:r w:rsidR="0053563D" w:rsidRPr="003275E0">
        <w:rPr>
          <w:sz w:val="24"/>
          <w:szCs w:val="24"/>
          <w:lang w:val="en-US"/>
        </w:rPr>
        <w:t>3</w:t>
      </w:r>
      <w:r w:rsidRPr="003275E0">
        <w:rPr>
          <w:sz w:val="24"/>
          <w:szCs w:val="24"/>
          <w:lang w:val="en-US"/>
        </w:rPr>
        <w:t xml:space="preserve"> have been </w:t>
      </w:r>
      <w:proofErr w:type="gramStart"/>
      <w:r w:rsidRPr="003275E0">
        <w:rPr>
          <w:sz w:val="24"/>
          <w:szCs w:val="24"/>
          <w:lang w:val="en-US"/>
        </w:rPr>
        <w:t>attached;</w:t>
      </w:r>
      <w:proofErr w:type="gramEnd"/>
    </w:p>
    <w:p w14:paraId="2E3AB5C6" w14:textId="77777777" w:rsidR="00B079C8" w:rsidRPr="003275E0" w:rsidRDefault="00B079C8" w:rsidP="00CB3CFE">
      <w:pPr>
        <w:pStyle w:val="ListParagraph"/>
        <w:spacing w:after="120"/>
        <w:ind w:left="360" w:hanging="360"/>
        <w:jc w:val="both"/>
        <w:rPr>
          <w:sz w:val="24"/>
          <w:szCs w:val="24"/>
          <w:lang w:val="en-US"/>
        </w:rPr>
      </w:pPr>
      <w:r w:rsidRPr="003275E0">
        <w:rPr>
          <w:sz w:val="24"/>
          <w:szCs w:val="24"/>
          <w:lang w:val="en-US"/>
        </w:rPr>
        <w:t xml:space="preserve">c.    All necessary attachments/documents/photographs are </w:t>
      </w:r>
      <w:proofErr w:type="gramStart"/>
      <w:r w:rsidRPr="003275E0">
        <w:rPr>
          <w:sz w:val="24"/>
          <w:szCs w:val="24"/>
          <w:lang w:val="en-US"/>
        </w:rPr>
        <w:t>attached;</w:t>
      </w:r>
      <w:proofErr w:type="gramEnd"/>
    </w:p>
    <w:p w14:paraId="1D5C2ABF" w14:textId="77777777" w:rsidR="00B079C8" w:rsidRPr="003275E0" w:rsidRDefault="00B079C8" w:rsidP="00CB3CFE">
      <w:pPr>
        <w:pStyle w:val="ListParagraph"/>
        <w:spacing w:after="120"/>
        <w:ind w:left="360" w:hanging="360"/>
        <w:jc w:val="both"/>
        <w:rPr>
          <w:sz w:val="24"/>
          <w:szCs w:val="24"/>
          <w:lang w:val="en-US"/>
        </w:rPr>
      </w:pPr>
      <w:r w:rsidRPr="003275E0">
        <w:rPr>
          <w:sz w:val="24"/>
          <w:szCs w:val="24"/>
          <w:lang w:val="en-US"/>
        </w:rPr>
        <w:t xml:space="preserve">d.    Avoid leaving mandatory fields blank; use "N/A" if not </w:t>
      </w:r>
      <w:proofErr w:type="gramStart"/>
      <w:r w:rsidRPr="003275E0">
        <w:rPr>
          <w:sz w:val="24"/>
          <w:szCs w:val="24"/>
          <w:lang w:val="en-US"/>
        </w:rPr>
        <w:t>applicable;</w:t>
      </w:r>
      <w:proofErr w:type="gramEnd"/>
    </w:p>
    <w:p w14:paraId="73E0B59A" w14:textId="77777777" w:rsidR="00B079C8" w:rsidRPr="003275E0" w:rsidRDefault="00B079C8" w:rsidP="00CB3CFE">
      <w:pPr>
        <w:pStyle w:val="ListParagraph"/>
        <w:spacing w:after="120"/>
        <w:ind w:left="360" w:hanging="360"/>
        <w:jc w:val="both"/>
        <w:rPr>
          <w:sz w:val="24"/>
          <w:szCs w:val="24"/>
          <w:lang w:val="en-US"/>
        </w:rPr>
      </w:pPr>
      <w:r w:rsidRPr="003275E0">
        <w:rPr>
          <w:sz w:val="24"/>
          <w:szCs w:val="24"/>
          <w:lang w:val="en-US"/>
        </w:rPr>
        <w:t xml:space="preserve">e.    Plan your submission in advance to avoid last-minute </w:t>
      </w:r>
      <w:proofErr w:type="gramStart"/>
      <w:r w:rsidRPr="003275E0">
        <w:rPr>
          <w:sz w:val="24"/>
          <w:szCs w:val="24"/>
          <w:lang w:val="en-US"/>
        </w:rPr>
        <w:t>complications;</w:t>
      </w:r>
      <w:proofErr w:type="gramEnd"/>
    </w:p>
    <w:p w14:paraId="096C0EEA" w14:textId="0EA3DB72" w:rsidR="00B36426" w:rsidRPr="003275E0" w:rsidRDefault="00B079C8" w:rsidP="00CB3CFE">
      <w:pPr>
        <w:pStyle w:val="ListParagraph"/>
        <w:spacing w:after="120"/>
        <w:ind w:left="360" w:hanging="360"/>
        <w:jc w:val="both"/>
        <w:rPr>
          <w:sz w:val="24"/>
          <w:szCs w:val="24"/>
          <w:lang w:val="en-US"/>
        </w:rPr>
      </w:pPr>
      <w:r w:rsidRPr="003275E0">
        <w:rPr>
          <w:sz w:val="24"/>
          <w:szCs w:val="24"/>
          <w:lang w:val="en-US"/>
        </w:rPr>
        <w:t>f.    Check your email regularly for updates or requests for clarification.</w:t>
      </w:r>
    </w:p>
    <w:p w14:paraId="39D04B7D" w14:textId="77777777" w:rsidR="00FC0C7D" w:rsidRPr="003275E0" w:rsidRDefault="00FC0C7D" w:rsidP="00CB3CFE">
      <w:pPr>
        <w:pStyle w:val="ListParagraph"/>
        <w:spacing w:after="120"/>
        <w:ind w:left="360"/>
        <w:jc w:val="both"/>
        <w:rPr>
          <w:sz w:val="24"/>
          <w:szCs w:val="24"/>
          <w:lang w:val="en-US"/>
        </w:rPr>
      </w:pPr>
    </w:p>
    <w:p w14:paraId="3F055796" w14:textId="77777777" w:rsidR="00B079C8" w:rsidRPr="003275E0" w:rsidRDefault="00B079C8" w:rsidP="00CB3CFE">
      <w:pPr>
        <w:pStyle w:val="ListParagraph"/>
        <w:spacing w:after="120"/>
        <w:ind w:left="360" w:hanging="360"/>
        <w:jc w:val="center"/>
        <w:rPr>
          <w:b/>
          <w:bCs/>
          <w:sz w:val="24"/>
          <w:szCs w:val="24"/>
          <w:lang w:val="en-US"/>
        </w:rPr>
      </w:pPr>
      <w:r w:rsidRPr="003275E0">
        <w:rPr>
          <w:b/>
          <w:bCs/>
          <w:sz w:val="24"/>
          <w:szCs w:val="24"/>
          <w:lang w:val="en-US"/>
        </w:rPr>
        <w:t>Thank you for your interest!</w:t>
      </w:r>
    </w:p>
    <w:p w14:paraId="3033460C" w14:textId="77777777" w:rsidR="007B0DCA" w:rsidRPr="003275E0" w:rsidRDefault="007B0DCA" w:rsidP="00CB3CFE">
      <w:pPr>
        <w:pStyle w:val="ListParagraph"/>
        <w:spacing w:after="120"/>
        <w:ind w:left="360" w:hanging="360"/>
        <w:jc w:val="center"/>
        <w:rPr>
          <w:b/>
          <w:bCs/>
          <w:sz w:val="24"/>
          <w:szCs w:val="24"/>
          <w:lang w:val="en-US"/>
        </w:rPr>
      </w:pPr>
    </w:p>
    <w:p w14:paraId="59BB0B94" w14:textId="4AFDE79D" w:rsidR="00B36426" w:rsidRPr="003275E0" w:rsidRDefault="00B079C8" w:rsidP="00CB3CFE">
      <w:pPr>
        <w:pStyle w:val="ListParagraph"/>
        <w:spacing w:after="120"/>
        <w:ind w:left="360" w:hanging="360"/>
        <w:jc w:val="center"/>
        <w:rPr>
          <w:b/>
          <w:bCs/>
          <w:sz w:val="24"/>
          <w:szCs w:val="24"/>
          <w:lang w:val="en-US"/>
        </w:rPr>
      </w:pPr>
      <w:r w:rsidRPr="003275E0">
        <w:rPr>
          <w:b/>
          <w:bCs/>
          <w:sz w:val="24"/>
          <w:szCs w:val="24"/>
          <w:lang w:val="en-US"/>
        </w:rPr>
        <w:t>We look forward to your participation!</w:t>
      </w:r>
    </w:p>
    <w:p w14:paraId="2E650CB0" w14:textId="77777777" w:rsidR="00316D57" w:rsidRPr="003275E0" w:rsidRDefault="00316D57" w:rsidP="00CB3CFE">
      <w:pPr>
        <w:pStyle w:val="ListParagraph"/>
        <w:spacing w:after="120"/>
        <w:ind w:left="360" w:hanging="360"/>
        <w:jc w:val="center"/>
        <w:rPr>
          <w:b/>
          <w:bCs/>
          <w:sz w:val="24"/>
          <w:szCs w:val="24"/>
          <w:lang w:val="en-US"/>
        </w:rPr>
      </w:pPr>
    </w:p>
    <w:p w14:paraId="34090CF4" w14:textId="3B08ADA5" w:rsidR="00B079C8" w:rsidRPr="003275E0" w:rsidRDefault="00B079C8" w:rsidP="00CB3CFE">
      <w:pPr>
        <w:pStyle w:val="ListParagraph"/>
        <w:spacing w:after="120"/>
        <w:jc w:val="center"/>
        <w:rPr>
          <w:b/>
          <w:bCs/>
          <w:sz w:val="24"/>
          <w:szCs w:val="24"/>
          <w:lang w:val="en-US"/>
        </w:rPr>
      </w:pPr>
      <w:r w:rsidRPr="003275E0">
        <w:rPr>
          <w:b/>
          <w:bCs/>
          <w:sz w:val="24"/>
          <w:szCs w:val="24"/>
          <w:lang w:val="en-US"/>
        </w:rPr>
        <w:t>For further questions, please contact us at</w:t>
      </w:r>
    </w:p>
    <w:p w14:paraId="74CB26D7" w14:textId="607D245C" w:rsidR="00B36426" w:rsidRPr="003275E0" w:rsidRDefault="00B079C8" w:rsidP="00CB3CFE">
      <w:pPr>
        <w:pStyle w:val="ListParagraph"/>
        <w:spacing w:after="120"/>
        <w:jc w:val="center"/>
        <w:rPr>
          <w:sz w:val="24"/>
          <w:szCs w:val="24"/>
          <w:lang w:val="en-US"/>
        </w:rPr>
      </w:pPr>
      <w:r w:rsidRPr="003275E0">
        <w:rPr>
          <w:b/>
          <w:bCs/>
          <w:sz w:val="24"/>
          <w:szCs w:val="24"/>
          <w:lang w:val="en-US"/>
        </w:rPr>
        <w:t xml:space="preserve">tel. no.: +373 </w:t>
      </w:r>
      <w:r w:rsidR="008762EC">
        <w:rPr>
          <w:b/>
          <w:bCs/>
          <w:sz w:val="24"/>
          <w:szCs w:val="24"/>
          <w:lang w:val="en-US"/>
        </w:rPr>
        <w:t>6</w:t>
      </w:r>
      <w:r w:rsidR="003F5BF4">
        <w:rPr>
          <w:b/>
          <w:bCs/>
          <w:sz w:val="24"/>
          <w:szCs w:val="24"/>
          <w:lang w:val="en-US"/>
        </w:rPr>
        <w:t>8686585</w:t>
      </w:r>
      <w:r w:rsidRPr="003275E0">
        <w:rPr>
          <w:b/>
          <w:bCs/>
          <w:sz w:val="24"/>
          <w:szCs w:val="24"/>
          <w:lang w:val="en-US"/>
        </w:rPr>
        <w:t xml:space="preserve">, Monday-Friday, between 9:00 a.m. and 5:00 p.m., or at the following e-mail address: </w:t>
      </w:r>
      <w:hyperlink r:id="rId14" w:history="1">
        <w:r w:rsidR="0077378A" w:rsidRPr="009B4C25">
          <w:rPr>
            <w:rStyle w:val="Hyperlink"/>
            <w:b/>
            <w:bCs/>
            <w:sz w:val="24"/>
            <w:szCs w:val="24"/>
            <w:lang w:val="en-US"/>
          </w:rPr>
          <w:t>dorin.andros@undp.org</w:t>
        </w:r>
      </w:hyperlink>
    </w:p>
    <w:p w14:paraId="23479A0E" w14:textId="77777777" w:rsidR="00B079C8" w:rsidRPr="003275E0" w:rsidRDefault="00B079C8" w:rsidP="00CB3CFE">
      <w:pPr>
        <w:pStyle w:val="ListParagraph"/>
        <w:spacing w:after="120"/>
        <w:jc w:val="both"/>
        <w:rPr>
          <w:sz w:val="24"/>
          <w:szCs w:val="24"/>
          <w:lang w:val="en-US"/>
        </w:rPr>
      </w:pPr>
    </w:p>
    <w:p w14:paraId="2AAEC1FD" w14:textId="3400A269" w:rsidR="00B079C8" w:rsidRPr="003275E0" w:rsidRDefault="00B079C8" w:rsidP="00CB3CFE">
      <w:pPr>
        <w:spacing w:after="120"/>
        <w:jc w:val="both"/>
        <w:rPr>
          <w:sz w:val="24"/>
          <w:szCs w:val="24"/>
          <w:lang w:val="en-US"/>
        </w:rPr>
      </w:pPr>
      <w:r w:rsidRPr="003275E0">
        <w:rPr>
          <w:sz w:val="24"/>
          <w:szCs w:val="24"/>
          <w:lang w:val="en-US"/>
        </w:rPr>
        <w:t xml:space="preserve">Please note that there is no legal </w:t>
      </w:r>
      <w:r w:rsidR="00E00D22">
        <w:rPr>
          <w:sz w:val="24"/>
          <w:szCs w:val="24"/>
          <w:lang w:val="en-US"/>
        </w:rPr>
        <w:t xml:space="preserve">entitlement </w:t>
      </w:r>
      <w:r w:rsidRPr="003275E0">
        <w:rPr>
          <w:sz w:val="24"/>
          <w:szCs w:val="24"/>
          <w:lang w:val="en-US"/>
        </w:rPr>
        <w:t xml:space="preserve">to </w:t>
      </w:r>
      <w:r w:rsidR="00E00D22">
        <w:rPr>
          <w:sz w:val="24"/>
          <w:szCs w:val="24"/>
          <w:lang w:val="en-US"/>
        </w:rPr>
        <w:t xml:space="preserve">be </w:t>
      </w:r>
      <w:r w:rsidRPr="003275E0">
        <w:rPr>
          <w:sz w:val="24"/>
          <w:szCs w:val="24"/>
          <w:lang w:val="en-US"/>
        </w:rPr>
        <w:t>select</w:t>
      </w:r>
      <w:r w:rsidR="00E00D22">
        <w:rPr>
          <w:sz w:val="24"/>
          <w:szCs w:val="24"/>
          <w:lang w:val="en-US"/>
        </w:rPr>
        <w:t>ed under this process</w:t>
      </w:r>
      <w:r w:rsidRPr="003275E0">
        <w:rPr>
          <w:sz w:val="24"/>
          <w:szCs w:val="24"/>
          <w:lang w:val="en-US"/>
        </w:rPr>
        <w:t xml:space="preserve"> or </w:t>
      </w:r>
      <w:r w:rsidR="00E00D22">
        <w:rPr>
          <w:sz w:val="24"/>
          <w:szCs w:val="24"/>
          <w:lang w:val="en-US"/>
        </w:rPr>
        <w:t xml:space="preserve">to receive </w:t>
      </w:r>
      <w:r w:rsidRPr="003275E0">
        <w:rPr>
          <w:sz w:val="24"/>
          <w:szCs w:val="24"/>
          <w:lang w:val="en-US"/>
        </w:rPr>
        <w:t xml:space="preserve">any of the services/measures described above. </w:t>
      </w:r>
    </w:p>
    <w:p w14:paraId="0AC3887F" w14:textId="17635310" w:rsidR="00B079C8" w:rsidRPr="003275E0" w:rsidRDefault="00B079C8" w:rsidP="00CB3CFE">
      <w:pPr>
        <w:spacing w:after="120"/>
        <w:jc w:val="both"/>
        <w:rPr>
          <w:sz w:val="24"/>
          <w:szCs w:val="24"/>
          <w:lang w:val="en-US"/>
        </w:rPr>
      </w:pPr>
      <w:r w:rsidRPr="003275E0">
        <w:rPr>
          <w:sz w:val="24"/>
          <w:szCs w:val="24"/>
          <w:lang w:val="en-US"/>
        </w:rPr>
        <w:t xml:space="preserve">Neither UNDP Moldova nor any of their donors </w:t>
      </w:r>
      <w:r w:rsidR="00E00D22">
        <w:rPr>
          <w:sz w:val="24"/>
          <w:szCs w:val="24"/>
          <w:lang w:val="en-US"/>
        </w:rPr>
        <w:t>shall be held</w:t>
      </w:r>
      <w:r w:rsidR="00E00D22" w:rsidRPr="003275E0">
        <w:rPr>
          <w:sz w:val="24"/>
          <w:szCs w:val="24"/>
          <w:lang w:val="en-US"/>
        </w:rPr>
        <w:t xml:space="preserve"> </w:t>
      </w:r>
      <w:r w:rsidRPr="003275E0">
        <w:rPr>
          <w:sz w:val="24"/>
          <w:szCs w:val="24"/>
          <w:lang w:val="en-US"/>
        </w:rPr>
        <w:t>liable to any company or applicant for the provision of any of the above services</w:t>
      </w:r>
      <w:r w:rsidR="00905A36">
        <w:rPr>
          <w:sz w:val="24"/>
          <w:szCs w:val="24"/>
          <w:lang w:val="en-US"/>
        </w:rPr>
        <w:t>,</w:t>
      </w:r>
      <w:r w:rsidRPr="003275E0">
        <w:rPr>
          <w:sz w:val="24"/>
          <w:szCs w:val="24"/>
          <w:lang w:val="en-US"/>
        </w:rPr>
        <w:t xml:space="preserve"> </w:t>
      </w:r>
      <w:r w:rsidR="00905A36">
        <w:rPr>
          <w:sz w:val="24"/>
          <w:szCs w:val="24"/>
          <w:lang w:val="en-US"/>
        </w:rPr>
        <w:t>n</w:t>
      </w:r>
      <w:r w:rsidRPr="003275E0">
        <w:rPr>
          <w:sz w:val="24"/>
          <w:szCs w:val="24"/>
          <w:lang w:val="en-US"/>
        </w:rPr>
        <w:t>or for any damages</w:t>
      </w:r>
      <w:r w:rsidR="00905A36">
        <w:rPr>
          <w:sz w:val="24"/>
          <w:szCs w:val="24"/>
          <w:lang w:val="en-US"/>
        </w:rPr>
        <w:t>, losses</w:t>
      </w:r>
      <w:r w:rsidRPr="003275E0">
        <w:rPr>
          <w:sz w:val="24"/>
          <w:szCs w:val="24"/>
          <w:lang w:val="en-US"/>
        </w:rPr>
        <w:t xml:space="preserve"> or injuries that may result from </w:t>
      </w:r>
      <w:r w:rsidR="00EF52A6" w:rsidRPr="00514A1A">
        <w:rPr>
          <w:sz w:val="24"/>
          <w:szCs w:val="24"/>
          <w:lang w:val="en-US"/>
        </w:rPr>
        <w:t>participation in this initiative or from</w:t>
      </w:r>
      <w:r w:rsidR="00EF52A6">
        <w:rPr>
          <w:sz w:val="24"/>
          <w:szCs w:val="24"/>
          <w:lang w:val="en-US"/>
        </w:rPr>
        <w:t xml:space="preserve"> </w:t>
      </w:r>
      <w:r w:rsidRPr="003275E0">
        <w:rPr>
          <w:sz w:val="24"/>
          <w:szCs w:val="24"/>
          <w:lang w:val="en-US"/>
        </w:rPr>
        <w:t xml:space="preserve">the implementation of the project or from the activities described in the above text. </w:t>
      </w:r>
    </w:p>
    <w:p w14:paraId="33AE2C93" w14:textId="5C92C86F" w:rsidR="00965480" w:rsidRPr="003744FB" w:rsidRDefault="00965480" w:rsidP="00CB3CFE">
      <w:pPr>
        <w:spacing w:after="120"/>
        <w:jc w:val="both"/>
        <w:rPr>
          <w:sz w:val="24"/>
          <w:szCs w:val="24"/>
          <w:lang w:val="en-US"/>
        </w:rPr>
      </w:pPr>
      <w:r w:rsidRPr="003744FB">
        <w:rPr>
          <w:sz w:val="24"/>
          <w:szCs w:val="24"/>
          <w:lang w:val="en-US"/>
        </w:rPr>
        <w:t xml:space="preserve">Selected enterprises will </w:t>
      </w:r>
      <w:proofErr w:type="gramStart"/>
      <w:r w:rsidR="00DD3970" w:rsidRPr="003744FB">
        <w:rPr>
          <w:sz w:val="24"/>
          <w:szCs w:val="24"/>
          <w:lang w:val="en-US"/>
        </w:rPr>
        <w:t>enter into</w:t>
      </w:r>
      <w:proofErr w:type="gramEnd"/>
      <w:r w:rsidR="00DD3970" w:rsidRPr="003744FB">
        <w:rPr>
          <w:sz w:val="24"/>
          <w:szCs w:val="24"/>
          <w:lang w:val="en-US"/>
        </w:rPr>
        <w:t xml:space="preserve"> </w:t>
      </w:r>
      <w:r w:rsidR="000567AD" w:rsidRPr="003744FB">
        <w:rPr>
          <w:sz w:val="24"/>
          <w:szCs w:val="24"/>
          <w:lang w:val="en-US"/>
        </w:rPr>
        <w:t xml:space="preserve">a </w:t>
      </w:r>
      <w:r w:rsidR="00D731D2" w:rsidRPr="003744FB">
        <w:rPr>
          <w:sz w:val="24"/>
          <w:szCs w:val="24"/>
          <w:lang w:val="en-US"/>
        </w:rPr>
        <w:t>Low Value</w:t>
      </w:r>
      <w:r w:rsidR="000567AD" w:rsidRPr="003744FB">
        <w:rPr>
          <w:sz w:val="24"/>
          <w:szCs w:val="24"/>
          <w:lang w:val="en-US"/>
        </w:rPr>
        <w:t xml:space="preserve"> Performance-Based Payment (PBP) Agreement with UNDP Moldova. This agreement </w:t>
      </w:r>
      <w:r w:rsidR="00AA00AD" w:rsidRPr="003744FB">
        <w:rPr>
          <w:sz w:val="24"/>
          <w:szCs w:val="24"/>
          <w:lang w:val="en-US"/>
        </w:rPr>
        <w:t>governs the terms and conditions for performance-based payments, including agreed results, verification requirements, reporting obligations, and payment conditions. All payments are strictly contingent upon verified achievement of agreed results and CNED validation of the energy audit deliverables. Payments are made in arrears and only upon confirmation of compliance with the agreed indicators and deliverables.</w:t>
      </w:r>
    </w:p>
    <w:p w14:paraId="12E7EF77" w14:textId="6CEC0427" w:rsidR="00FD2ADB" w:rsidRPr="00FE28F8" w:rsidRDefault="00B079C8" w:rsidP="00FE28F8">
      <w:pPr>
        <w:spacing w:after="120"/>
        <w:jc w:val="both"/>
        <w:rPr>
          <w:sz w:val="24"/>
          <w:szCs w:val="24"/>
          <w:lang w:val="en-US"/>
        </w:rPr>
      </w:pPr>
      <w:r w:rsidRPr="003275E0">
        <w:rPr>
          <w:sz w:val="24"/>
          <w:szCs w:val="24"/>
          <w:lang w:val="en-US"/>
        </w:rPr>
        <w:t>This document was developed within the project "</w:t>
      </w:r>
      <w:r w:rsidR="005277B7" w:rsidRPr="005277B7">
        <w:rPr>
          <w:sz w:val="24"/>
          <w:szCs w:val="24"/>
          <w:lang w:val="en-US"/>
        </w:rPr>
        <w:t xml:space="preserve">Greening the Future, Advancing Rights and Stability: Spurring an Inclusive and Green Transition with Responsive Governance in the Eastern </w:t>
      </w:r>
      <w:proofErr w:type="spellStart"/>
      <w:r w:rsidR="005277B7" w:rsidRPr="005277B7">
        <w:rPr>
          <w:sz w:val="24"/>
          <w:szCs w:val="24"/>
          <w:lang w:val="en-US"/>
        </w:rPr>
        <w:t>Neighbourhood</w:t>
      </w:r>
      <w:proofErr w:type="spellEnd"/>
      <w:r w:rsidR="005277B7" w:rsidRPr="005277B7">
        <w:rPr>
          <w:sz w:val="24"/>
          <w:szCs w:val="24"/>
          <w:lang w:val="en-US"/>
        </w:rPr>
        <w:t xml:space="preserve"> Region</w:t>
      </w:r>
      <w:r w:rsidRPr="003275E0">
        <w:rPr>
          <w:sz w:val="24"/>
          <w:szCs w:val="24"/>
          <w:lang w:val="en-US"/>
        </w:rPr>
        <w:t>," implemented by UNDP Moldova with the financial support of the Government of Denmark</w:t>
      </w:r>
      <w:r w:rsidR="00FE28F8">
        <w:rPr>
          <w:sz w:val="24"/>
          <w:szCs w:val="24"/>
          <w:lang w:val="en-US"/>
        </w:rPr>
        <w:t xml:space="preserve">. </w:t>
      </w:r>
    </w:p>
    <w:p w14:paraId="3D54494D" w14:textId="77777777" w:rsidR="004D3DD4" w:rsidRPr="003275E0" w:rsidRDefault="004D3DD4" w:rsidP="00CB3CFE">
      <w:pPr>
        <w:spacing w:after="120"/>
        <w:jc w:val="right"/>
        <w:rPr>
          <w:b/>
          <w:bCs/>
          <w:sz w:val="24"/>
          <w:szCs w:val="24"/>
          <w:lang w:val="en-US"/>
        </w:rPr>
      </w:pPr>
    </w:p>
    <w:sectPr w:rsidR="004D3DD4" w:rsidRPr="003275E0" w:rsidSect="003946D8">
      <w:pgSz w:w="11906" w:h="16838" w:code="9"/>
      <w:pgMar w:top="1350" w:right="1016" w:bottom="135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2D54" w14:textId="77777777" w:rsidR="0056693B" w:rsidRDefault="0056693B" w:rsidP="0073221E">
      <w:pPr>
        <w:spacing w:after="0"/>
      </w:pPr>
      <w:r>
        <w:separator/>
      </w:r>
    </w:p>
  </w:endnote>
  <w:endnote w:type="continuationSeparator" w:id="0">
    <w:p w14:paraId="7CD6DB18" w14:textId="77777777" w:rsidR="0056693B" w:rsidRDefault="0056693B" w:rsidP="007322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94BE" w14:textId="77777777" w:rsidR="0056693B" w:rsidRDefault="0056693B" w:rsidP="0073221E">
      <w:pPr>
        <w:spacing w:after="0"/>
      </w:pPr>
      <w:r>
        <w:separator/>
      </w:r>
    </w:p>
  </w:footnote>
  <w:footnote w:type="continuationSeparator" w:id="0">
    <w:p w14:paraId="0B2BDC42" w14:textId="77777777" w:rsidR="0056693B" w:rsidRDefault="0056693B" w:rsidP="0073221E">
      <w:pPr>
        <w:spacing w:after="0"/>
      </w:pPr>
      <w:r>
        <w:continuationSeparator/>
      </w:r>
    </w:p>
  </w:footnote>
  <w:footnote w:id="1">
    <w:p w14:paraId="4AD88BB1" w14:textId="61B6351E" w:rsidR="0073221E" w:rsidRPr="0073221E" w:rsidRDefault="0073221E">
      <w:pPr>
        <w:pStyle w:val="FootnoteText"/>
        <w:rPr>
          <w:lang w:val="ro-RO"/>
        </w:rPr>
      </w:pPr>
      <w:r>
        <w:rPr>
          <w:rStyle w:val="FootnoteReference"/>
        </w:rPr>
        <w:footnoteRef/>
      </w:r>
      <w:r>
        <w:t xml:space="preserve"> </w:t>
      </w:r>
      <w:hyperlink r:id="rId1" w:history="1">
        <w:r w:rsidRPr="00591C63">
          <w:rPr>
            <w:rStyle w:val="Hyperlink"/>
          </w:rPr>
          <w:t>https://cned.gov.md/sites/default/files/document/attachments/lista_intreprinderilor_mari_ce_au_obligatia_de_a_efectua_audit_energetic.pdf</w:t>
        </w:r>
      </w:hyperlink>
      <w:r>
        <w:rPr>
          <w:lang w:val="ro-RO"/>
        </w:rP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3KXTxgH9" int2:invalidationBookmarkName="" int2:hashCode="wZLK4iWzFJqeLk" int2:id="XjDqv9u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443"/>
    <w:multiLevelType w:val="hybridMultilevel"/>
    <w:tmpl w:val="3342F4E0"/>
    <w:lvl w:ilvl="0" w:tplc="DA36D3CC">
      <w:start w:val="1"/>
      <w:numFmt w:val="decimal"/>
      <w:lvlText w:val="%1."/>
      <w:lvlJc w:val="left"/>
      <w:pPr>
        <w:ind w:left="1080" w:hanging="360"/>
      </w:pPr>
    </w:lvl>
    <w:lvl w:ilvl="1" w:tplc="C2C8FAF4">
      <w:start w:val="1"/>
      <w:numFmt w:val="lowerLetter"/>
      <w:lvlText w:val="%2."/>
      <w:lvlJc w:val="left"/>
      <w:pPr>
        <w:ind w:left="1800" w:hanging="360"/>
      </w:pPr>
    </w:lvl>
    <w:lvl w:ilvl="2" w:tplc="2234A3C8">
      <w:start w:val="1"/>
      <w:numFmt w:val="lowerRoman"/>
      <w:lvlText w:val="%3."/>
      <w:lvlJc w:val="right"/>
      <w:pPr>
        <w:ind w:left="2520" w:hanging="180"/>
      </w:pPr>
    </w:lvl>
    <w:lvl w:ilvl="3" w:tplc="A60CB596">
      <w:start w:val="1"/>
      <w:numFmt w:val="decimal"/>
      <w:lvlText w:val="%4."/>
      <w:lvlJc w:val="left"/>
      <w:pPr>
        <w:ind w:left="3240" w:hanging="360"/>
      </w:pPr>
    </w:lvl>
    <w:lvl w:ilvl="4" w:tplc="BE1CE9A4">
      <w:start w:val="1"/>
      <w:numFmt w:val="lowerLetter"/>
      <w:lvlText w:val="%5."/>
      <w:lvlJc w:val="left"/>
      <w:pPr>
        <w:ind w:left="3960" w:hanging="360"/>
      </w:pPr>
    </w:lvl>
    <w:lvl w:ilvl="5" w:tplc="C0563FAC">
      <w:start w:val="1"/>
      <w:numFmt w:val="lowerRoman"/>
      <w:lvlText w:val="%6."/>
      <w:lvlJc w:val="right"/>
      <w:pPr>
        <w:ind w:left="4680" w:hanging="180"/>
      </w:pPr>
    </w:lvl>
    <w:lvl w:ilvl="6" w:tplc="0C4C43FC">
      <w:start w:val="1"/>
      <w:numFmt w:val="decimal"/>
      <w:lvlText w:val="%7."/>
      <w:lvlJc w:val="left"/>
      <w:pPr>
        <w:ind w:left="5400" w:hanging="360"/>
      </w:pPr>
    </w:lvl>
    <w:lvl w:ilvl="7" w:tplc="A57ACC0C">
      <w:start w:val="1"/>
      <w:numFmt w:val="lowerLetter"/>
      <w:lvlText w:val="%8."/>
      <w:lvlJc w:val="left"/>
      <w:pPr>
        <w:ind w:left="6120" w:hanging="360"/>
      </w:pPr>
    </w:lvl>
    <w:lvl w:ilvl="8" w:tplc="9522E5CC">
      <w:start w:val="1"/>
      <w:numFmt w:val="lowerRoman"/>
      <w:lvlText w:val="%9."/>
      <w:lvlJc w:val="right"/>
      <w:pPr>
        <w:ind w:left="6840" w:hanging="180"/>
      </w:pPr>
    </w:lvl>
  </w:abstractNum>
  <w:abstractNum w:abstractNumId="1" w15:restartNumberingAfterBreak="0">
    <w:nsid w:val="050F34FE"/>
    <w:multiLevelType w:val="multilevel"/>
    <w:tmpl w:val="BF5A9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F2947"/>
    <w:multiLevelType w:val="multilevel"/>
    <w:tmpl w:val="8020C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upperRoman"/>
      <w:lvlText w:val="%3."/>
      <w:lvlJc w:val="left"/>
      <w:pPr>
        <w:ind w:left="2520" w:hanging="720"/>
      </w:pPr>
      <w:rPr>
        <w:rFonts w:hint="default"/>
        <w:b/>
        <w:bCs/>
      </w:r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D6660"/>
    <w:multiLevelType w:val="hybridMultilevel"/>
    <w:tmpl w:val="39526684"/>
    <w:lvl w:ilvl="0" w:tplc="B20AAED6">
      <w:start w:val="1"/>
      <w:numFmt w:val="bullet"/>
      <w:lvlText w:val=""/>
      <w:lvlJc w:val="left"/>
      <w:pPr>
        <w:ind w:left="720" w:hanging="360"/>
      </w:pPr>
      <w:rPr>
        <w:rFonts w:ascii="Symbol" w:hAnsi="Symbol"/>
      </w:rPr>
    </w:lvl>
    <w:lvl w:ilvl="1" w:tplc="4E86FE64">
      <w:start w:val="1"/>
      <w:numFmt w:val="bullet"/>
      <w:lvlText w:val=""/>
      <w:lvlJc w:val="left"/>
      <w:pPr>
        <w:ind w:left="720" w:hanging="360"/>
      </w:pPr>
      <w:rPr>
        <w:rFonts w:ascii="Symbol" w:hAnsi="Symbol"/>
      </w:rPr>
    </w:lvl>
    <w:lvl w:ilvl="2" w:tplc="1B864DAA">
      <w:start w:val="1"/>
      <w:numFmt w:val="bullet"/>
      <w:lvlText w:val=""/>
      <w:lvlJc w:val="left"/>
      <w:pPr>
        <w:ind w:left="720" w:hanging="360"/>
      </w:pPr>
      <w:rPr>
        <w:rFonts w:ascii="Symbol" w:hAnsi="Symbol"/>
      </w:rPr>
    </w:lvl>
    <w:lvl w:ilvl="3" w:tplc="080CFE86">
      <w:start w:val="1"/>
      <w:numFmt w:val="bullet"/>
      <w:lvlText w:val=""/>
      <w:lvlJc w:val="left"/>
      <w:pPr>
        <w:ind w:left="720" w:hanging="360"/>
      </w:pPr>
      <w:rPr>
        <w:rFonts w:ascii="Symbol" w:hAnsi="Symbol"/>
      </w:rPr>
    </w:lvl>
    <w:lvl w:ilvl="4" w:tplc="215AF346">
      <w:start w:val="1"/>
      <w:numFmt w:val="bullet"/>
      <w:lvlText w:val=""/>
      <w:lvlJc w:val="left"/>
      <w:pPr>
        <w:ind w:left="720" w:hanging="360"/>
      </w:pPr>
      <w:rPr>
        <w:rFonts w:ascii="Symbol" w:hAnsi="Symbol"/>
      </w:rPr>
    </w:lvl>
    <w:lvl w:ilvl="5" w:tplc="7194BE98">
      <w:start w:val="1"/>
      <w:numFmt w:val="bullet"/>
      <w:lvlText w:val=""/>
      <w:lvlJc w:val="left"/>
      <w:pPr>
        <w:ind w:left="720" w:hanging="360"/>
      </w:pPr>
      <w:rPr>
        <w:rFonts w:ascii="Symbol" w:hAnsi="Symbol"/>
      </w:rPr>
    </w:lvl>
    <w:lvl w:ilvl="6" w:tplc="65000C8C">
      <w:start w:val="1"/>
      <w:numFmt w:val="bullet"/>
      <w:lvlText w:val=""/>
      <w:lvlJc w:val="left"/>
      <w:pPr>
        <w:ind w:left="720" w:hanging="360"/>
      </w:pPr>
      <w:rPr>
        <w:rFonts w:ascii="Symbol" w:hAnsi="Symbol"/>
      </w:rPr>
    </w:lvl>
    <w:lvl w:ilvl="7" w:tplc="A22283D0">
      <w:start w:val="1"/>
      <w:numFmt w:val="bullet"/>
      <w:lvlText w:val=""/>
      <w:lvlJc w:val="left"/>
      <w:pPr>
        <w:ind w:left="720" w:hanging="360"/>
      </w:pPr>
      <w:rPr>
        <w:rFonts w:ascii="Symbol" w:hAnsi="Symbol"/>
      </w:rPr>
    </w:lvl>
    <w:lvl w:ilvl="8" w:tplc="6A9C531A">
      <w:start w:val="1"/>
      <w:numFmt w:val="bullet"/>
      <w:lvlText w:val=""/>
      <w:lvlJc w:val="left"/>
      <w:pPr>
        <w:ind w:left="720" w:hanging="360"/>
      </w:pPr>
      <w:rPr>
        <w:rFonts w:ascii="Symbol" w:hAnsi="Symbol"/>
      </w:rPr>
    </w:lvl>
  </w:abstractNum>
  <w:abstractNum w:abstractNumId="4" w15:restartNumberingAfterBreak="0">
    <w:nsid w:val="18B928AC"/>
    <w:multiLevelType w:val="multilevel"/>
    <w:tmpl w:val="3458A1A4"/>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E655C"/>
    <w:multiLevelType w:val="hybridMultilevel"/>
    <w:tmpl w:val="50C0301E"/>
    <w:lvl w:ilvl="0" w:tplc="FFFFFFFF">
      <w:start w:val="2"/>
      <w:numFmt w:val="bullet"/>
      <w:lvlText w:val="-"/>
      <w:lvlJc w:val="left"/>
      <w:pPr>
        <w:ind w:left="1080" w:hanging="360"/>
      </w:pPr>
      <w:rPr>
        <w:rFonts w:ascii="Times New Roman" w:eastAsia="Times New Roman" w:hAnsi="Times New Roman" w:hint="default"/>
        <w:i/>
      </w:rPr>
    </w:lvl>
    <w:lvl w:ilvl="1" w:tplc="0409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14E554C"/>
    <w:multiLevelType w:val="multilevel"/>
    <w:tmpl w:val="945C04BA"/>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D3754"/>
    <w:multiLevelType w:val="hybridMultilevel"/>
    <w:tmpl w:val="949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2096C"/>
    <w:multiLevelType w:val="hybridMultilevel"/>
    <w:tmpl w:val="6D7E1210"/>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03461"/>
    <w:multiLevelType w:val="hybridMultilevel"/>
    <w:tmpl w:val="5AB6692E"/>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D399A"/>
    <w:multiLevelType w:val="multilevel"/>
    <w:tmpl w:val="F280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E5B35"/>
    <w:multiLevelType w:val="multilevel"/>
    <w:tmpl w:val="22FED1B6"/>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72D6F"/>
    <w:multiLevelType w:val="multilevel"/>
    <w:tmpl w:val="8C0408DC"/>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7E1792"/>
    <w:multiLevelType w:val="multilevel"/>
    <w:tmpl w:val="E7FC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D731B"/>
    <w:multiLevelType w:val="hybridMultilevel"/>
    <w:tmpl w:val="389ADE9C"/>
    <w:lvl w:ilvl="0" w:tplc="9824046A">
      <w:start w:val="1"/>
      <w:numFmt w:val="bullet"/>
      <w:lvlText w:val="-"/>
      <w:lvlJc w:val="left"/>
      <w:pPr>
        <w:ind w:left="720" w:hanging="360"/>
      </w:pPr>
      <w:rPr>
        <w:rFonts w:ascii="Symbol" w:hAnsi="Symbol" w:hint="default"/>
      </w:rPr>
    </w:lvl>
    <w:lvl w:ilvl="1" w:tplc="BBD6765C">
      <w:start w:val="1"/>
      <w:numFmt w:val="bullet"/>
      <w:lvlText w:val="o"/>
      <w:lvlJc w:val="left"/>
      <w:pPr>
        <w:ind w:left="1440" w:hanging="360"/>
      </w:pPr>
      <w:rPr>
        <w:rFonts w:ascii="Courier New" w:hAnsi="Courier New" w:hint="default"/>
      </w:rPr>
    </w:lvl>
    <w:lvl w:ilvl="2" w:tplc="10B8BC2A">
      <w:start w:val="1"/>
      <w:numFmt w:val="bullet"/>
      <w:lvlText w:val=""/>
      <w:lvlJc w:val="left"/>
      <w:pPr>
        <w:ind w:left="2160" w:hanging="360"/>
      </w:pPr>
      <w:rPr>
        <w:rFonts w:ascii="Wingdings" w:hAnsi="Wingdings" w:hint="default"/>
      </w:rPr>
    </w:lvl>
    <w:lvl w:ilvl="3" w:tplc="105AA4DA">
      <w:start w:val="1"/>
      <w:numFmt w:val="bullet"/>
      <w:lvlText w:val=""/>
      <w:lvlJc w:val="left"/>
      <w:pPr>
        <w:ind w:left="2880" w:hanging="360"/>
      </w:pPr>
      <w:rPr>
        <w:rFonts w:ascii="Symbol" w:hAnsi="Symbol" w:hint="default"/>
      </w:rPr>
    </w:lvl>
    <w:lvl w:ilvl="4" w:tplc="A9FEE036">
      <w:start w:val="1"/>
      <w:numFmt w:val="bullet"/>
      <w:lvlText w:val="o"/>
      <w:lvlJc w:val="left"/>
      <w:pPr>
        <w:ind w:left="3600" w:hanging="360"/>
      </w:pPr>
      <w:rPr>
        <w:rFonts w:ascii="Courier New" w:hAnsi="Courier New" w:hint="default"/>
      </w:rPr>
    </w:lvl>
    <w:lvl w:ilvl="5" w:tplc="2760F19A">
      <w:start w:val="1"/>
      <w:numFmt w:val="bullet"/>
      <w:lvlText w:val=""/>
      <w:lvlJc w:val="left"/>
      <w:pPr>
        <w:ind w:left="4320" w:hanging="360"/>
      </w:pPr>
      <w:rPr>
        <w:rFonts w:ascii="Wingdings" w:hAnsi="Wingdings" w:hint="default"/>
      </w:rPr>
    </w:lvl>
    <w:lvl w:ilvl="6" w:tplc="2E528944">
      <w:start w:val="1"/>
      <w:numFmt w:val="bullet"/>
      <w:lvlText w:val=""/>
      <w:lvlJc w:val="left"/>
      <w:pPr>
        <w:ind w:left="5040" w:hanging="360"/>
      </w:pPr>
      <w:rPr>
        <w:rFonts w:ascii="Symbol" w:hAnsi="Symbol" w:hint="default"/>
      </w:rPr>
    </w:lvl>
    <w:lvl w:ilvl="7" w:tplc="A04C137C">
      <w:start w:val="1"/>
      <w:numFmt w:val="bullet"/>
      <w:lvlText w:val="o"/>
      <w:lvlJc w:val="left"/>
      <w:pPr>
        <w:ind w:left="5760" w:hanging="360"/>
      </w:pPr>
      <w:rPr>
        <w:rFonts w:ascii="Courier New" w:hAnsi="Courier New" w:hint="default"/>
      </w:rPr>
    </w:lvl>
    <w:lvl w:ilvl="8" w:tplc="F75AD8B8">
      <w:start w:val="1"/>
      <w:numFmt w:val="bullet"/>
      <w:lvlText w:val=""/>
      <w:lvlJc w:val="left"/>
      <w:pPr>
        <w:ind w:left="6480" w:hanging="360"/>
      </w:pPr>
      <w:rPr>
        <w:rFonts w:ascii="Wingdings" w:hAnsi="Wingdings" w:hint="default"/>
      </w:rPr>
    </w:lvl>
  </w:abstractNum>
  <w:abstractNum w:abstractNumId="15" w15:restartNumberingAfterBreak="0">
    <w:nsid w:val="42520975"/>
    <w:multiLevelType w:val="multilevel"/>
    <w:tmpl w:val="2FC28D24"/>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7C5B28"/>
    <w:multiLevelType w:val="multilevel"/>
    <w:tmpl w:val="9BAA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42D26"/>
    <w:multiLevelType w:val="multilevel"/>
    <w:tmpl w:val="A42E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E600E"/>
    <w:multiLevelType w:val="multilevel"/>
    <w:tmpl w:val="4F7A6F64"/>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960DA"/>
    <w:multiLevelType w:val="hybridMultilevel"/>
    <w:tmpl w:val="ABD6CE9C"/>
    <w:lvl w:ilvl="0" w:tplc="EB06F46C">
      <w:start w:val="2"/>
      <w:numFmt w:val="bullet"/>
      <w:lvlText w:val="-"/>
      <w:lvlJc w:val="left"/>
      <w:pPr>
        <w:ind w:left="1080" w:hanging="360"/>
      </w:pPr>
      <w:rPr>
        <w:rFonts w:ascii="Times New Roman" w:eastAsia="Times New Roman" w:hAnsi="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0743B5"/>
    <w:multiLevelType w:val="multilevel"/>
    <w:tmpl w:val="98B6231C"/>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start w:val="2"/>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00AFD"/>
    <w:multiLevelType w:val="hybridMultilevel"/>
    <w:tmpl w:val="26666630"/>
    <w:lvl w:ilvl="0" w:tplc="E0A6FBD4">
      <w:start w:val="1"/>
      <w:numFmt w:val="decimal"/>
      <w:lvlText w:val="%1."/>
      <w:lvlJc w:val="left"/>
      <w:pPr>
        <w:ind w:left="1080" w:hanging="360"/>
      </w:pPr>
    </w:lvl>
    <w:lvl w:ilvl="1" w:tplc="C0E80AC2">
      <w:start w:val="1"/>
      <w:numFmt w:val="lowerLetter"/>
      <w:lvlText w:val="%2."/>
      <w:lvlJc w:val="left"/>
      <w:pPr>
        <w:ind w:left="1800" w:hanging="360"/>
      </w:pPr>
    </w:lvl>
    <w:lvl w:ilvl="2" w:tplc="2D465ED2">
      <w:start w:val="1"/>
      <w:numFmt w:val="lowerRoman"/>
      <w:lvlText w:val="%3."/>
      <w:lvlJc w:val="right"/>
      <w:pPr>
        <w:ind w:left="2520" w:hanging="180"/>
      </w:pPr>
    </w:lvl>
    <w:lvl w:ilvl="3" w:tplc="FFB44404">
      <w:start w:val="1"/>
      <w:numFmt w:val="decimal"/>
      <w:lvlText w:val="%4."/>
      <w:lvlJc w:val="left"/>
      <w:pPr>
        <w:ind w:left="3240" w:hanging="360"/>
      </w:pPr>
    </w:lvl>
    <w:lvl w:ilvl="4" w:tplc="AB24F65E">
      <w:start w:val="1"/>
      <w:numFmt w:val="lowerLetter"/>
      <w:lvlText w:val="%5."/>
      <w:lvlJc w:val="left"/>
      <w:pPr>
        <w:ind w:left="3960" w:hanging="360"/>
      </w:pPr>
    </w:lvl>
    <w:lvl w:ilvl="5" w:tplc="281C0A40">
      <w:start w:val="1"/>
      <w:numFmt w:val="lowerRoman"/>
      <w:lvlText w:val="%6."/>
      <w:lvlJc w:val="right"/>
      <w:pPr>
        <w:ind w:left="4680" w:hanging="180"/>
      </w:pPr>
    </w:lvl>
    <w:lvl w:ilvl="6" w:tplc="BB9E2F8A">
      <w:start w:val="1"/>
      <w:numFmt w:val="decimal"/>
      <w:lvlText w:val="%7."/>
      <w:lvlJc w:val="left"/>
      <w:pPr>
        <w:ind w:left="5400" w:hanging="360"/>
      </w:pPr>
    </w:lvl>
    <w:lvl w:ilvl="7" w:tplc="08C6E41C">
      <w:start w:val="1"/>
      <w:numFmt w:val="lowerLetter"/>
      <w:lvlText w:val="%8."/>
      <w:lvlJc w:val="left"/>
      <w:pPr>
        <w:ind w:left="6120" w:hanging="360"/>
      </w:pPr>
    </w:lvl>
    <w:lvl w:ilvl="8" w:tplc="C5B89EE0">
      <w:start w:val="1"/>
      <w:numFmt w:val="lowerRoman"/>
      <w:lvlText w:val="%9."/>
      <w:lvlJc w:val="right"/>
      <w:pPr>
        <w:ind w:left="6840" w:hanging="180"/>
      </w:pPr>
    </w:lvl>
  </w:abstractNum>
  <w:abstractNum w:abstractNumId="22" w15:restartNumberingAfterBreak="0">
    <w:nsid w:val="6CC353FA"/>
    <w:multiLevelType w:val="hybridMultilevel"/>
    <w:tmpl w:val="E0DC156E"/>
    <w:lvl w:ilvl="0" w:tplc="EB06F46C">
      <w:start w:val="2"/>
      <w:numFmt w:val="bullet"/>
      <w:lvlText w:val="-"/>
      <w:lvlJc w:val="left"/>
      <w:pPr>
        <w:ind w:left="1080" w:hanging="360"/>
      </w:pPr>
      <w:rPr>
        <w:rFonts w:ascii="Times New Roman" w:eastAsia="Times New Roman" w:hAnsi="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C41969"/>
    <w:multiLevelType w:val="hybridMultilevel"/>
    <w:tmpl w:val="75EA0352"/>
    <w:lvl w:ilvl="0" w:tplc="DDBAA79C">
      <w:start w:val="1"/>
      <w:numFmt w:val="bullet"/>
      <w:lvlText w:val=""/>
      <w:lvlJc w:val="left"/>
      <w:pPr>
        <w:ind w:left="720" w:hanging="360"/>
      </w:pPr>
      <w:rPr>
        <w:rFonts w:ascii="Symbol" w:hAnsi="Symbol" w:hint="default"/>
      </w:rPr>
    </w:lvl>
    <w:lvl w:ilvl="1" w:tplc="A1782A74">
      <w:start w:val="1"/>
      <w:numFmt w:val="bullet"/>
      <w:lvlText w:val="o"/>
      <w:lvlJc w:val="left"/>
      <w:pPr>
        <w:ind w:left="1440" w:hanging="360"/>
      </w:pPr>
      <w:rPr>
        <w:rFonts w:ascii="Courier New" w:hAnsi="Courier New" w:hint="default"/>
      </w:rPr>
    </w:lvl>
    <w:lvl w:ilvl="2" w:tplc="F606E374">
      <w:start w:val="1"/>
      <w:numFmt w:val="bullet"/>
      <w:lvlText w:val=""/>
      <w:lvlJc w:val="left"/>
      <w:pPr>
        <w:ind w:left="2160" w:hanging="360"/>
      </w:pPr>
      <w:rPr>
        <w:rFonts w:ascii="Wingdings" w:hAnsi="Wingdings" w:hint="default"/>
      </w:rPr>
    </w:lvl>
    <w:lvl w:ilvl="3" w:tplc="8A9041FA">
      <w:start w:val="1"/>
      <w:numFmt w:val="bullet"/>
      <w:lvlText w:val=""/>
      <w:lvlJc w:val="left"/>
      <w:pPr>
        <w:ind w:left="2880" w:hanging="360"/>
      </w:pPr>
      <w:rPr>
        <w:rFonts w:ascii="Symbol" w:hAnsi="Symbol" w:hint="default"/>
      </w:rPr>
    </w:lvl>
    <w:lvl w:ilvl="4" w:tplc="64F21362">
      <w:start w:val="1"/>
      <w:numFmt w:val="bullet"/>
      <w:lvlText w:val="o"/>
      <w:lvlJc w:val="left"/>
      <w:pPr>
        <w:ind w:left="3600" w:hanging="360"/>
      </w:pPr>
      <w:rPr>
        <w:rFonts w:ascii="Courier New" w:hAnsi="Courier New" w:hint="default"/>
      </w:rPr>
    </w:lvl>
    <w:lvl w:ilvl="5" w:tplc="EFF4098C">
      <w:start w:val="1"/>
      <w:numFmt w:val="bullet"/>
      <w:lvlText w:val=""/>
      <w:lvlJc w:val="left"/>
      <w:pPr>
        <w:ind w:left="4320" w:hanging="360"/>
      </w:pPr>
      <w:rPr>
        <w:rFonts w:ascii="Wingdings" w:hAnsi="Wingdings" w:hint="default"/>
      </w:rPr>
    </w:lvl>
    <w:lvl w:ilvl="6" w:tplc="B1F0CA72">
      <w:start w:val="1"/>
      <w:numFmt w:val="bullet"/>
      <w:lvlText w:val=""/>
      <w:lvlJc w:val="left"/>
      <w:pPr>
        <w:ind w:left="5040" w:hanging="360"/>
      </w:pPr>
      <w:rPr>
        <w:rFonts w:ascii="Symbol" w:hAnsi="Symbol" w:hint="default"/>
      </w:rPr>
    </w:lvl>
    <w:lvl w:ilvl="7" w:tplc="14985134">
      <w:start w:val="1"/>
      <w:numFmt w:val="bullet"/>
      <w:lvlText w:val="o"/>
      <w:lvlJc w:val="left"/>
      <w:pPr>
        <w:ind w:left="5760" w:hanging="360"/>
      </w:pPr>
      <w:rPr>
        <w:rFonts w:ascii="Courier New" w:hAnsi="Courier New" w:hint="default"/>
      </w:rPr>
    </w:lvl>
    <w:lvl w:ilvl="8" w:tplc="CBD64E0E">
      <w:start w:val="1"/>
      <w:numFmt w:val="bullet"/>
      <w:lvlText w:val=""/>
      <w:lvlJc w:val="left"/>
      <w:pPr>
        <w:ind w:left="6480" w:hanging="360"/>
      </w:pPr>
      <w:rPr>
        <w:rFonts w:ascii="Wingdings" w:hAnsi="Wingdings" w:hint="default"/>
      </w:rPr>
    </w:lvl>
  </w:abstractNum>
  <w:abstractNum w:abstractNumId="24" w15:restartNumberingAfterBreak="0">
    <w:nsid w:val="6D757C83"/>
    <w:multiLevelType w:val="hybridMultilevel"/>
    <w:tmpl w:val="ED1283DA"/>
    <w:lvl w:ilvl="0" w:tplc="BF28E2D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54C23"/>
    <w:multiLevelType w:val="hybridMultilevel"/>
    <w:tmpl w:val="6038C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B0EB1"/>
    <w:multiLevelType w:val="hybridMultilevel"/>
    <w:tmpl w:val="B0401BB4"/>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B4D37"/>
    <w:multiLevelType w:val="multilevel"/>
    <w:tmpl w:val="1EF61EFE"/>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57004"/>
    <w:multiLevelType w:val="hybridMultilevel"/>
    <w:tmpl w:val="38127908"/>
    <w:lvl w:ilvl="0" w:tplc="7BFCDF1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0080E"/>
    <w:multiLevelType w:val="hybridMultilevel"/>
    <w:tmpl w:val="74044C4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F2FC2"/>
    <w:multiLevelType w:val="multilevel"/>
    <w:tmpl w:val="A8206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94081"/>
    <w:multiLevelType w:val="multilevel"/>
    <w:tmpl w:val="A2787F32"/>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23B35"/>
    <w:multiLevelType w:val="multilevel"/>
    <w:tmpl w:val="1A628DAE"/>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037417">
    <w:abstractNumId w:val="2"/>
  </w:num>
  <w:num w:numId="2" w16cid:durableId="728726073">
    <w:abstractNumId w:val="20"/>
  </w:num>
  <w:num w:numId="3" w16cid:durableId="245265802">
    <w:abstractNumId w:val="24"/>
  </w:num>
  <w:num w:numId="4" w16cid:durableId="572129616">
    <w:abstractNumId w:val="12"/>
  </w:num>
  <w:num w:numId="5" w16cid:durableId="613439704">
    <w:abstractNumId w:val="17"/>
  </w:num>
  <w:num w:numId="6" w16cid:durableId="140468447">
    <w:abstractNumId w:val="10"/>
  </w:num>
  <w:num w:numId="7" w16cid:durableId="475804471">
    <w:abstractNumId w:val="32"/>
  </w:num>
  <w:num w:numId="8" w16cid:durableId="1645306314">
    <w:abstractNumId w:val="19"/>
  </w:num>
  <w:num w:numId="9" w16cid:durableId="731386232">
    <w:abstractNumId w:val="1"/>
  </w:num>
  <w:num w:numId="10" w16cid:durableId="233662486">
    <w:abstractNumId w:val="22"/>
  </w:num>
  <w:num w:numId="11" w16cid:durableId="1316377656">
    <w:abstractNumId w:val="5"/>
  </w:num>
  <w:num w:numId="12" w16cid:durableId="1059090219">
    <w:abstractNumId w:val="11"/>
  </w:num>
  <w:num w:numId="13" w16cid:durableId="1060396909">
    <w:abstractNumId w:val="16"/>
  </w:num>
  <w:num w:numId="14" w16cid:durableId="666399459">
    <w:abstractNumId w:val="4"/>
  </w:num>
  <w:num w:numId="15" w16cid:durableId="2136286958">
    <w:abstractNumId w:val="13"/>
  </w:num>
  <w:num w:numId="16" w16cid:durableId="739867835">
    <w:abstractNumId w:val="25"/>
  </w:num>
  <w:num w:numId="17" w16cid:durableId="403720025">
    <w:abstractNumId w:val="29"/>
  </w:num>
  <w:num w:numId="18" w16cid:durableId="1890651951">
    <w:abstractNumId w:val="8"/>
  </w:num>
  <w:num w:numId="19" w16cid:durableId="504982170">
    <w:abstractNumId w:val="26"/>
  </w:num>
  <w:num w:numId="20" w16cid:durableId="241717636">
    <w:abstractNumId w:val="27"/>
  </w:num>
  <w:num w:numId="21" w16cid:durableId="1725563985">
    <w:abstractNumId w:val="31"/>
  </w:num>
  <w:num w:numId="22" w16cid:durableId="920023525">
    <w:abstractNumId w:val="18"/>
  </w:num>
  <w:num w:numId="23" w16cid:durableId="24719151">
    <w:abstractNumId w:val="6"/>
  </w:num>
  <w:num w:numId="24" w16cid:durableId="530340827">
    <w:abstractNumId w:val="9"/>
  </w:num>
  <w:num w:numId="25" w16cid:durableId="597371478">
    <w:abstractNumId w:val="30"/>
  </w:num>
  <w:num w:numId="26" w16cid:durableId="2137597033">
    <w:abstractNumId w:val="15"/>
  </w:num>
  <w:num w:numId="27" w16cid:durableId="508369111">
    <w:abstractNumId w:val="7"/>
  </w:num>
  <w:num w:numId="28" w16cid:durableId="2079666403">
    <w:abstractNumId w:val="28"/>
  </w:num>
  <w:num w:numId="29" w16cid:durableId="1062755623">
    <w:abstractNumId w:val="3"/>
  </w:num>
  <w:num w:numId="30" w16cid:durableId="1631130645">
    <w:abstractNumId w:val="14"/>
  </w:num>
  <w:num w:numId="31" w16cid:durableId="339703377">
    <w:abstractNumId w:val="23"/>
  </w:num>
  <w:num w:numId="32" w16cid:durableId="345446901">
    <w:abstractNumId w:val="21"/>
  </w:num>
  <w:num w:numId="33" w16cid:durableId="8036999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46"/>
    <w:rsid w:val="00001E0B"/>
    <w:rsid w:val="000032E1"/>
    <w:rsid w:val="00021D0B"/>
    <w:rsid w:val="00023696"/>
    <w:rsid w:val="0002576B"/>
    <w:rsid w:val="00027F64"/>
    <w:rsid w:val="00032849"/>
    <w:rsid w:val="00041E18"/>
    <w:rsid w:val="00047684"/>
    <w:rsid w:val="00047C50"/>
    <w:rsid w:val="000567AD"/>
    <w:rsid w:val="000571C6"/>
    <w:rsid w:val="000611BE"/>
    <w:rsid w:val="000626A3"/>
    <w:rsid w:val="00065442"/>
    <w:rsid w:val="00077880"/>
    <w:rsid w:val="00081320"/>
    <w:rsid w:val="00085BF2"/>
    <w:rsid w:val="00086839"/>
    <w:rsid w:val="000A2083"/>
    <w:rsid w:val="000A304D"/>
    <w:rsid w:val="000A532F"/>
    <w:rsid w:val="000A747A"/>
    <w:rsid w:val="000B0C59"/>
    <w:rsid w:val="000C1484"/>
    <w:rsid w:val="000C1F2A"/>
    <w:rsid w:val="000C2737"/>
    <w:rsid w:val="000D16D1"/>
    <w:rsid w:val="000D2879"/>
    <w:rsid w:val="000E0764"/>
    <w:rsid w:val="000E3C02"/>
    <w:rsid w:val="000E3E4E"/>
    <w:rsid w:val="000E50B6"/>
    <w:rsid w:val="000F322D"/>
    <w:rsid w:val="001010C8"/>
    <w:rsid w:val="00101F43"/>
    <w:rsid w:val="001036A0"/>
    <w:rsid w:val="00110DA8"/>
    <w:rsid w:val="001160FA"/>
    <w:rsid w:val="001167D5"/>
    <w:rsid w:val="00121682"/>
    <w:rsid w:val="00136683"/>
    <w:rsid w:val="00153CA2"/>
    <w:rsid w:val="00161E71"/>
    <w:rsid w:val="00164BAC"/>
    <w:rsid w:val="001934A1"/>
    <w:rsid w:val="0019385E"/>
    <w:rsid w:val="0019757C"/>
    <w:rsid w:val="001A3839"/>
    <w:rsid w:val="001A6E4D"/>
    <w:rsid w:val="001B052C"/>
    <w:rsid w:val="001B1FBC"/>
    <w:rsid w:val="001B7DD3"/>
    <w:rsid w:val="001B7ECE"/>
    <w:rsid w:val="001C77E6"/>
    <w:rsid w:val="001D318A"/>
    <w:rsid w:val="001D36E4"/>
    <w:rsid w:val="001D7AD1"/>
    <w:rsid w:val="001E0638"/>
    <w:rsid w:val="001E075F"/>
    <w:rsid w:val="001F54A9"/>
    <w:rsid w:val="00200C66"/>
    <w:rsid w:val="002107CF"/>
    <w:rsid w:val="00221E79"/>
    <w:rsid w:val="0022755E"/>
    <w:rsid w:val="00230777"/>
    <w:rsid w:val="00231612"/>
    <w:rsid w:val="0024130D"/>
    <w:rsid w:val="00247605"/>
    <w:rsid w:val="00252161"/>
    <w:rsid w:val="00257AF3"/>
    <w:rsid w:val="00257E80"/>
    <w:rsid w:val="002651EC"/>
    <w:rsid w:val="002674B2"/>
    <w:rsid w:val="002709BE"/>
    <w:rsid w:val="00283517"/>
    <w:rsid w:val="00284045"/>
    <w:rsid w:val="00290A97"/>
    <w:rsid w:val="0029225F"/>
    <w:rsid w:val="002924D5"/>
    <w:rsid w:val="002A27D5"/>
    <w:rsid w:val="002A6FAB"/>
    <w:rsid w:val="002B0F07"/>
    <w:rsid w:val="002B614B"/>
    <w:rsid w:val="002B7C1F"/>
    <w:rsid w:val="002C09F5"/>
    <w:rsid w:val="002C1B6E"/>
    <w:rsid w:val="002C281C"/>
    <w:rsid w:val="002D1F10"/>
    <w:rsid w:val="002D448E"/>
    <w:rsid w:val="002D6249"/>
    <w:rsid w:val="002E1685"/>
    <w:rsid w:val="002E2BE3"/>
    <w:rsid w:val="002E7D1C"/>
    <w:rsid w:val="002F0ACF"/>
    <w:rsid w:val="002F1EEE"/>
    <w:rsid w:val="002F2272"/>
    <w:rsid w:val="002F378B"/>
    <w:rsid w:val="002F45A5"/>
    <w:rsid w:val="002F77AD"/>
    <w:rsid w:val="0030374C"/>
    <w:rsid w:val="003058DB"/>
    <w:rsid w:val="00310850"/>
    <w:rsid w:val="00310BD7"/>
    <w:rsid w:val="0031116A"/>
    <w:rsid w:val="00311E6D"/>
    <w:rsid w:val="003152F2"/>
    <w:rsid w:val="00316D57"/>
    <w:rsid w:val="00317EC0"/>
    <w:rsid w:val="00320D88"/>
    <w:rsid w:val="003210E4"/>
    <w:rsid w:val="00322BB5"/>
    <w:rsid w:val="00324C9B"/>
    <w:rsid w:val="003275E0"/>
    <w:rsid w:val="003278A6"/>
    <w:rsid w:val="00330701"/>
    <w:rsid w:val="003345F3"/>
    <w:rsid w:val="00334F1C"/>
    <w:rsid w:val="003364FB"/>
    <w:rsid w:val="003459CA"/>
    <w:rsid w:val="00367064"/>
    <w:rsid w:val="00370E23"/>
    <w:rsid w:val="003744FB"/>
    <w:rsid w:val="003772BD"/>
    <w:rsid w:val="003840D8"/>
    <w:rsid w:val="00394361"/>
    <w:rsid w:val="003946D8"/>
    <w:rsid w:val="00394883"/>
    <w:rsid w:val="00396A42"/>
    <w:rsid w:val="003B1A78"/>
    <w:rsid w:val="003B78C3"/>
    <w:rsid w:val="003C6181"/>
    <w:rsid w:val="003C63FD"/>
    <w:rsid w:val="003C6432"/>
    <w:rsid w:val="003D3BDC"/>
    <w:rsid w:val="003D494F"/>
    <w:rsid w:val="003D72D7"/>
    <w:rsid w:val="003E06D8"/>
    <w:rsid w:val="003E36EE"/>
    <w:rsid w:val="003F4745"/>
    <w:rsid w:val="003F4FB9"/>
    <w:rsid w:val="003F5676"/>
    <w:rsid w:val="003F5BF4"/>
    <w:rsid w:val="003F5EC5"/>
    <w:rsid w:val="003F6628"/>
    <w:rsid w:val="00400951"/>
    <w:rsid w:val="00402F1C"/>
    <w:rsid w:val="00406F90"/>
    <w:rsid w:val="00411E1F"/>
    <w:rsid w:val="00420F7D"/>
    <w:rsid w:val="004348BC"/>
    <w:rsid w:val="00436ACB"/>
    <w:rsid w:val="00437257"/>
    <w:rsid w:val="004448AB"/>
    <w:rsid w:val="00446ED4"/>
    <w:rsid w:val="0045516B"/>
    <w:rsid w:val="00464F92"/>
    <w:rsid w:val="004776F5"/>
    <w:rsid w:val="00490D94"/>
    <w:rsid w:val="00492D34"/>
    <w:rsid w:val="00494689"/>
    <w:rsid w:val="004961DF"/>
    <w:rsid w:val="004A2915"/>
    <w:rsid w:val="004A3C45"/>
    <w:rsid w:val="004A3FA0"/>
    <w:rsid w:val="004B1E80"/>
    <w:rsid w:val="004B2421"/>
    <w:rsid w:val="004B3F52"/>
    <w:rsid w:val="004C3286"/>
    <w:rsid w:val="004D0431"/>
    <w:rsid w:val="004D26B6"/>
    <w:rsid w:val="004D3A0D"/>
    <w:rsid w:val="004D3DD4"/>
    <w:rsid w:val="004D58CD"/>
    <w:rsid w:val="004D601C"/>
    <w:rsid w:val="004D7E2C"/>
    <w:rsid w:val="004E3A33"/>
    <w:rsid w:val="004E4154"/>
    <w:rsid w:val="004F3618"/>
    <w:rsid w:val="004F421F"/>
    <w:rsid w:val="00501E3F"/>
    <w:rsid w:val="00513FEE"/>
    <w:rsid w:val="00514A1A"/>
    <w:rsid w:val="005227E1"/>
    <w:rsid w:val="00525965"/>
    <w:rsid w:val="005277B7"/>
    <w:rsid w:val="00530CE9"/>
    <w:rsid w:val="0053563D"/>
    <w:rsid w:val="00546D5E"/>
    <w:rsid w:val="005521F0"/>
    <w:rsid w:val="00553072"/>
    <w:rsid w:val="005615CC"/>
    <w:rsid w:val="00561DB8"/>
    <w:rsid w:val="0056693B"/>
    <w:rsid w:val="00567F12"/>
    <w:rsid w:val="00571C9B"/>
    <w:rsid w:val="00573A45"/>
    <w:rsid w:val="00573C00"/>
    <w:rsid w:val="00574053"/>
    <w:rsid w:val="00597088"/>
    <w:rsid w:val="0059713B"/>
    <w:rsid w:val="005A7133"/>
    <w:rsid w:val="005B106C"/>
    <w:rsid w:val="005B3C48"/>
    <w:rsid w:val="005B411B"/>
    <w:rsid w:val="005C51F2"/>
    <w:rsid w:val="005D1C8A"/>
    <w:rsid w:val="005D7736"/>
    <w:rsid w:val="005E222B"/>
    <w:rsid w:val="005E6E37"/>
    <w:rsid w:val="005F3C26"/>
    <w:rsid w:val="005F4758"/>
    <w:rsid w:val="006017A0"/>
    <w:rsid w:val="00601B2A"/>
    <w:rsid w:val="0061522B"/>
    <w:rsid w:val="00617691"/>
    <w:rsid w:val="00633DB7"/>
    <w:rsid w:val="00637039"/>
    <w:rsid w:val="00641B47"/>
    <w:rsid w:val="00644156"/>
    <w:rsid w:val="006457FA"/>
    <w:rsid w:val="00647645"/>
    <w:rsid w:val="00651716"/>
    <w:rsid w:val="00653357"/>
    <w:rsid w:val="006546DF"/>
    <w:rsid w:val="006667A1"/>
    <w:rsid w:val="00692BBF"/>
    <w:rsid w:val="006A0BAB"/>
    <w:rsid w:val="006A5187"/>
    <w:rsid w:val="006B0779"/>
    <w:rsid w:val="006B133D"/>
    <w:rsid w:val="006B1B90"/>
    <w:rsid w:val="006B509B"/>
    <w:rsid w:val="006C0B77"/>
    <w:rsid w:val="006C2B1F"/>
    <w:rsid w:val="006C413A"/>
    <w:rsid w:val="006C6B8C"/>
    <w:rsid w:val="006E3C3B"/>
    <w:rsid w:val="006E76AD"/>
    <w:rsid w:val="006F0438"/>
    <w:rsid w:val="006F095A"/>
    <w:rsid w:val="006F3BBF"/>
    <w:rsid w:val="006F68A5"/>
    <w:rsid w:val="0070490C"/>
    <w:rsid w:val="00705262"/>
    <w:rsid w:val="007129F8"/>
    <w:rsid w:val="00712BDC"/>
    <w:rsid w:val="00713B75"/>
    <w:rsid w:val="0073216C"/>
    <w:rsid w:val="0073221E"/>
    <w:rsid w:val="00735246"/>
    <w:rsid w:val="007438DF"/>
    <w:rsid w:val="007471FD"/>
    <w:rsid w:val="007473A3"/>
    <w:rsid w:val="0075401E"/>
    <w:rsid w:val="007550B1"/>
    <w:rsid w:val="00756BEA"/>
    <w:rsid w:val="007636E3"/>
    <w:rsid w:val="00766F66"/>
    <w:rsid w:val="00770AAC"/>
    <w:rsid w:val="0077378A"/>
    <w:rsid w:val="0077413F"/>
    <w:rsid w:val="007752CF"/>
    <w:rsid w:val="00776F55"/>
    <w:rsid w:val="007801AA"/>
    <w:rsid w:val="00785696"/>
    <w:rsid w:val="00785DF2"/>
    <w:rsid w:val="00790A46"/>
    <w:rsid w:val="00791531"/>
    <w:rsid w:val="007A1881"/>
    <w:rsid w:val="007A282C"/>
    <w:rsid w:val="007A391B"/>
    <w:rsid w:val="007A529E"/>
    <w:rsid w:val="007A6410"/>
    <w:rsid w:val="007B0DCA"/>
    <w:rsid w:val="007B3375"/>
    <w:rsid w:val="007C2BA0"/>
    <w:rsid w:val="007C3A60"/>
    <w:rsid w:val="007C63A6"/>
    <w:rsid w:val="007C6B90"/>
    <w:rsid w:val="007C6CB5"/>
    <w:rsid w:val="007D0149"/>
    <w:rsid w:val="007D16C4"/>
    <w:rsid w:val="007D59ED"/>
    <w:rsid w:val="007E7BD0"/>
    <w:rsid w:val="007F1031"/>
    <w:rsid w:val="007F2AF8"/>
    <w:rsid w:val="008029A4"/>
    <w:rsid w:val="00804E15"/>
    <w:rsid w:val="00805111"/>
    <w:rsid w:val="0080771D"/>
    <w:rsid w:val="00807794"/>
    <w:rsid w:val="00811A2A"/>
    <w:rsid w:val="00815923"/>
    <w:rsid w:val="0081666A"/>
    <w:rsid w:val="0082258B"/>
    <w:rsid w:val="008234F9"/>
    <w:rsid w:val="008238C3"/>
    <w:rsid w:val="008242FF"/>
    <w:rsid w:val="0083131E"/>
    <w:rsid w:val="00841629"/>
    <w:rsid w:val="0084260E"/>
    <w:rsid w:val="00843AD2"/>
    <w:rsid w:val="0084431D"/>
    <w:rsid w:val="0084614C"/>
    <w:rsid w:val="0086162B"/>
    <w:rsid w:val="00864C7E"/>
    <w:rsid w:val="0086719F"/>
    <w:rsid w:val="00870751"/>
    <w:rsid w:val="008727E9"/>
    <w:rsid w:val="008762EC"/>
    <w:rsid w:val="0088169B"/>
    <w:rsid w:val="008828C4"/>
    <w:rsid w:val="00884AD3"/>
    <w:rsid w:val="00887704"/>
    <w:rsid w:val="008A1042"/>
    <w:rsid w:val="008A1487"/>
    <w:rsid w:val="008A3C30"/>
    <w:rsid w:val="008A6703"/>
    <w:rsid w:val="008A798B"/>
    <w:rsid w:val="008B0193"/>
    <w:rsid w:val="008B19F9"/>
    <w:rsid w:val="008B52F9"/>
    <w:rsid w:val="008D27B9"/>
    <w:rsid w:val="008D42F1"/>
    <w:rsid w:val="008D64C2"/>
    <w:rsid w:val="008D7E60"/>
    <w:rsid w:val="008E5F4C"/>
    <w:rsid w:val="008E6140"/>
    <w:rsid w:val="00902A12"/>
    <w:rsid w:val="00903EBE"/>
    <w:rsid w:val="00904E56"/>
    <w:rsid w:val="00905A36"/>
    <w:rsid w:val="009153BE"/>
    <w:rsid w:val="00922C48"/>
    <w:rsid w:val="00925A7A"/>
    <w:rsid w:val="009302F5"/>
    <w:rsid w:val="00930D6F"/>
    <w:rsid w:val="00935096"/>
    <w:rsid w:val="009411F1"/>
    <w:rsid w:val="00945A30"/>
    <w:rsid w:val="009478CD"/>
    <w:rsid w:val="00951519"/>
    <w:rsid w:val="00954E00"/>
    <w:rsid w:val="009650D7"/>
    <w:rsid w:val="00965480"/>
    <w:rsid w:val="0097200D"/>
    <w:rsid w:val="009766DD"/>
    <w:rsid w:val="00982481"/>
    <w:rsid w:val="009855E3"/>
    <w:rsid w:val="009961BF"/>
    <w:rsid w:val="009B6F8E"/>
    <w:rsid w:val="009C7215"/>
    <w:rsid w:val="009C7E84"/>
    <w:rsid w:val="009D1D10"/>
    <w:rsid w:val="009D416F"/>
    <w:rsid w:val="009D492B"/>
    <w:rsid w:val="009D4E5D"/>
    <w:rsid w:val="009D7C7C"/>
    <w:rsid w:val="009E0261"/>
    <w:rsid w:val="009E100E"/>
    <w:rsid w:val="009E765E"/>
    <w:rsid w:val="00A11A77"/>
    <w:rsid w:val="00A14462"/>
    <w:rsid w:val="00A23396"/>
    <w:rsid w:val="00A30173"/>
    <w:rsid w:val="00A31764"/>
    <w:rsid w:val="00A32A4F"/>
    <w:rsid w:val="00A35207"/>
    <w:rsid w:val="00A3697E"/>
    <w:rsid w:val="00A4041B"/>
    <w:rsid w:val="00A51BFC"/>
    <w:rsid w:val="00A54F65"/>
    <w:rsid w:val="00A5539D"/>
    <w:rsid w:val="00A5624D"/>
    <w:rsid w:val="00A601AF"/>
    <w:rsid w:val="00A6530F"/>
    <w:rsid w:val="00A74144"/>
    <w:rsid w:val="00A84BB4"/>
    <w:rsid w:val="00A875B9"/>
    <w:rsid w:val="00A97BA1"/>
    <w:rsid w:val="00AA00AD"/>
    <w:rsid w:val="00AA0985"/>
    <w:rsid w:val="00AA5A11"/>
    <w:rsid w:val="00AB366A"/>
    <w:rsid w:val="00AB63B4"/>
    <w:rsid w:val="00AC18CD"/>
    <w:rsid w:val="00AC29ED"/>
    <w:rsid w:val="00AC6040"/>
    <w:rsid w:val="00AD2093"/>
    <w:rsid w:val="00AD48FE"/>
    <w:rsid w:val="00AD5556"/>
    <w:rsid w:val="00AD7898"/>
    <w:rsid w:val="00AE02D9"/>
    <w:rsid w:val="00AE2784"/>
    <w:rsid w:val="00AE5BAE"/>
    <w:rsid w:val="00AE6C6F"/>
    <w:rsid w:val="00AF7AE0"/>
    <w:rsid w:val="00B00290"/>
    <w:rsid w:val="00B0741C"/>
    <w:rsid w:val="00B079C8"/>
    <w:rsid w:val="00B1338D"/>
    <w:rsid w:val="00B20A45"/>
    <w:rsid w:val="00B23539"/>
    <w:rsid w:val="00B24990"/>
    <w:rsid w:val="00B24E29"/>
    <w:rsid w:val="00B25A71"/>
    <w:rsid w:val="00B26B67"/>
    <w:rsid w:val="00B30B3E"/>
    <w:rsid w:val="00B30DD7"/>
    <w:rsid w:val="00B334E2"/>
    <w:rsid w:val="00B33FC7"/>
    <w:rsid w:val="00B36426"/>
    <w:rsid w:val="00B4596D"/>
    <w:rsid w:val="00B45AB2"/>
    <w:rsid w:val="00B475D0"/>
    <w:rsid w:val="00B51320"/>
    <w:rsid w:val="00B56C51"/>
    <w:rsid w:val="00B579E8"/>
    <w:rsid w:val="00B6425F"/>
    <w:rsid w:val="00B65C15"/>
    <w:rsid w:val="00B745B1"/>
    <w:rsid w:val="00B76FAF"/>
    <w:rsid w:val="00B77F36"/>
    <w:rsid w:val="00B86148"/>
    <w:rsid w:val="00B86685"/>
    <w:rsid w:val="00B91486"/>
    <w:rsid w:val="00B915B7"/>
    <w:rsid w:val="00B93804"/>
    <w:rsid w:val="00B972C5"/>
    <w:rsid w:val="00BA3BB9"/>
    <w:rsid w:val="00BA4DAF"/>
    <w:rsid w:val="00BA61B4"/>
    <w:rsid w:val="00BB62B7"/>
    <w:rsid w:val="00BC0896"/>
    <w:rsid w:val="00BD2063"/>
    <w:rsid w:val="00BD38B2"/>
    <w:rsid w:val="00BD6979"/>
    <w:rsid w:val="00BD6ADD"/>
    <w:rsid w:val="00BE102F"/>
    <w:rsid w:val="00BE286C"/>
    <w:rsid w:val="00BE39B8"/>
    <w:rsid w:val="00BF1F16"/>
    <w:rsid w:val="00BF388F"/>
    <w:rsid w:val="00BF3F66"/>
    <w:rsid w:val="00BF7C85"/>
    <w:rsid w:val="00C064BA"/>
    <w:rsid w:val="00C06A9D"/>
    <w:rsid w:val="00C12C49"/>
    <w:rsid w:val="00C136B1"/>
    <w:rsid w:val="00C1387C"/>
    <w:rsid w:val="00C14D73"/>
    <w:rsid w:val="00C15EC2"/>
    <w:rsid w:val="00C169F4"/>
    <w:rsid w:val="00C1701A"/>
    <w:rsid w:val="00C22D00"/>
    <w:rsid w:val="00C27CE2"/>
    <w:rsid w:val="00C42FF0"/>
    <w:rsid w:val="00C451AE"/>
    <w:rsid w:val="00C52B8F"/>
    <w:rsid w:val="00C557EF"/>
    <w:rsid w:val="00C55B9E"/>
    <w:rsid w:val="00C56DF1"/>
    <w:rsid w:val="00C6AB72"/>
    <w:rsid w:val="00C72404"/>
    <w:rsid w:val="00C72BEC"/>
    <w:rsid w:val="00C76B4F"/>
    <w:rsid w:val="00C7728F"/>
    <w:rsid w:val="00C82135"/>
    <w:rsid w:val="00C83073"/>
    <w:rsid w:val="00C87363"/>
    <w:rsid w:val="00C90B8B"/>
    <w:rsid w:val="00C9795A"/>
    <w:rsid w:val="00CA5196"/>
    <w:rsid w:val="00CA530B"/>
    <w:rsid w:val="00CB00E1"/>
    <w:rsid w:val="00CB0C7D"/>
    <w:rsid w:val="00CB1045"/>
    <w:rsid w:val="00CB3CFE"/>
    <w:rsid w:val="00CB50E7"/>
    <w:rsid w:val="00CB6973"/>
    <w:rsid w:val="00CC70EE"/>
    <w:rsid w:val="00CD5228"/>
    <w:rsid w:val="00CD57BA"/>
    <w:rsid w:val="00CE0B69"/>
    <w:rsid w:val="00CE2749"/>
    <w:rsid w:val="00CE29DB"/>
    <w:rsid w:val="00CE2E1B"/>
    <w:rsid w:val="00CF5D85"/>
    <w:rsid w:val="00D027C2"/>
    <w:rsid w:val="00D02B31"/>
    <w:rsid w:val="00D032CF"/>
    <w:rsid w:val="00D06024"/>
    <w:rsid w:val="00D119F1"/>
    <w:rsid w:val="00D12E5D"/>
    <w:rsid w:val="00D155F7"/>
    <w:rsid w:val="00D22072"/>
    <w:rsid w:val="00D23351"/>
    <w:rsid w:val="00D24262"/>
    <w:rsid w:val="00D401F0"/>
    <w:rsid w:val="00D40590"/>
    <w:rsid w:val="00D45E04"/>
    <w:rsid w:val="00D518C2"/>
    <w:rsid w:val="00D525EC"/>
    <w:rsid w:val="00D54771"/>
    <w:rsid w:val="00D55635"/>
    <w:rsid w:val="00D64388"/>
    <w:rsid w:val="00D6590A"/>
    <w:rsid w:val="00D70F0F"/>
    <w:rsid w:val="00D731D2"/>
    <w:rsid w:val="00D85042"/>
    <w:rsid w:val="00D876D9"/>
    <w:rsid w:val="00D87DF0"/>
    <w:rsid w:val="00D91611"/>
    <w:rsid w:val="00D94AC5"/>
    <w:rsid w:val="00DB0A1E"/>
    <w:rsid w:val="00DB1D91"/>
    <w:rsid w:val="00DB36F8"/>
    <w:rsid w:val="00DC2EAE"/>
    <w:rsid w:val="00DC66AE"/>
    <w:rsid w:val="00DC6ED3"/>
    <w:rsid w:val="00DD3970"/>
    <w:rsid w:val="00DE5996"/>
    <w:rsid w:val="00DE75E6"/>
    <w:rsid w:val="00E00D22"/>
    <w:rsid w:val="00E14E37"/>
    <w:rsid w:val="00E26EB8"/>
    <w:rsid w:val="00E276C6"/>
    <w:rsid w:val="00E30F36"/>
    <w:rsid w:val="00E34D95"/>
    <w:rsid w:val="00E35F04"/>
    <w:rsid w:val="00E368BE"/>
    <w:rsid w:val="00E40FE5"/>
    <w:rsid w:val="00E42C14"/>
    <w:rsid w:val="00E454DB"/>
    <w:rsid w:val="00E5437B"/>
    <w:rsid w:val="00E5440C"/>
    <w:rsid w:val="00E61223"/>
    <w:rsid w:val="00E66935"/>
    <w:rsid w:val="00E66DC1"/>
    <w:rsid w:val="00E70B3D"/>
    <w:rsid w:val="00E7120B"/>
    <w:rsid w:val="00E75DD8"/>
    <w:rsid w:val="00E80DDE"/>
    <w:rsid w:val="00E83C3A"/>
    <w:rsid w:val="00E8492C"/>
    <w:rsid w:val="00E850E4"/>
    <w:rsid w:val="00E85A97"/>
    <w:rsid w:val="00E8649B"/>
    <w:rsid w:val="00E878FB"/>
    <w:rsid w:val="00E92DBF"/>
    <w:rsid w:val="00EA2A9B"/>
    <w:rsid w:val="00EA408E"/>
    <w:rsid w:val="00EA59DF"/>
    <w:rsid w:val="00EA5A49"/>
    <w:rsid w:val="00EA67C3"/>
    <w:rsid w:val="00EB055F"/>
    <w:rsid w:val="00EB0B81"/>
    <w:rsid w:val="00EC2671"/>
    <w:rsid w:val="00EC3ABC"/>
    <w:rsid w:val="00EC5BB0"/>
    <w:rsid w:val="00ED54FB"/>
    <w:rsid w:val="00ED57CA"/>
    <w:rsid w:val="00ED5E64"/>
    <w:rsid w:val="00ED750B"/>
    <w:rsid w:val="00EE1377"/>
    <w:rsid w:val="00EE4070"/>
    <w:rsid w:val="00EE4E93"/>
    <w:rsid w:val="00EE6336"/>
    <w:rsid w:val="00EF0D81"/>
    <w:rsid w:val="00EF52A6"/>
    <w:rsid w:val="00F124F9"/>
    <w:rsid w:val="00F12C76"/>
    <w:rsid w:val="00F14832"/>
    <w:rsid w:val="00F14CE3"/>
    <w:rsid w:val="00F32F23"/>
    <w:rsid w:val="00F346BD"/>
    <w:rsid w:val="00F34C60"/>
    <w:rsid w:val="00F354F5"/>
    <w:rsid w:val="00F437C7"/>
    <w:rsid w:val="00F6093A"/>
    <w:rsid w:val="00F755D7"/>
    <w:rsid w:val="00F76302"/>
    <w:rsid w:val="00F82EEA"/>
    <w:rsid w:val="00F87F58"/>
    <w:rsid w:val="00F90209"/>
    <w:rsid w:val="00FA1447"/>
    <w:rsid w:val="00FB00F9"/>
    <w:rsid w:val="00FB0BBB"/>
    <w:rsid w:val="00FB3595"/>
    <w:rsid w:val="00FB6B51"/>
    <w:rsid w:val="00FC0C7D"/>
    <w:rsid w:val="00FD0C20"/>
    <w:rsid w:val="00FD2ADB"/>
    <w:rsid w:val="00FD6C87"/>
    <w:rsid w:val="00FE28F8"/>
    <w:rsid w:val="00FE39AF"/>
    <w:rsid w:val="00FE65C4"/>
    <w:rsid w:val="00FE78F0"/>
    <w:rsid w:val="00FF764C"/>
    <w:rsid w:val="0408BBFB"/>
    <w:rsid w:val="09097CDD"/>
    <w:rsid w:val="093BC93F"/>
    <w:rsid w:val="09B9F458"/>
    <w:rsid w:val="0BEE2CD3"/>
    <w:rsid w:val="0D5547C0"/>
    <w:rsid w:val="0E3F261A"/>
    <w:rsid w:val="0FC139B5"/>
    <w:rsid w:val="10A26CE8"/>
    <w:rsid w:val="11AD1E96"/>
    <w:rsid w:val="11CE3146"/>
    <w:rsid w:val="1245E2B0"/>
    <w:rsid w:val="1294B896"/>
    <w:rsid w:val="12AA787C"/>
    <w:rsid w:val="13FAC761"/>
    <w:rsid w:val="16A0ED59"/>
    <w:rsid w:val="16EB0894"/>
    <w:rsid w:val="1709812C"/>
    <w:rsid w:val="1898CEFB"/>
    <w:rsid w:val="1AEF8511"/>
    <w:rsid w:val="1B8ECFA6"/>
    <w:rsid w:val="1C2CAC50"/>
    <w:rsid w:val="1C7B8D1B"/>
    <w:rsid w:val="1CEFBE63"/>
    <w:rsid w:val="1CF769FF"/>
    <w:rsid w:val="1E1280AE"/>
    <w:rsid w:val="1F19E93F"/>
    <w:rsid w:val="1FDFAFC4"/>
    <w:rsid w:val="22280741"/>
    <w:rsid w:val="22AA2A26"/>
    <w:rsid w:val="239FCD15"/>
    <w:rsid w:val="23FFD1BC"/>
    <w:rsid w:val="24D663FE"/>
    <w:rsid w:val="251D16A5"/>
    <w:rsid w:val="257F6B01"/>
    <w:rsid w:val="26D41505"/>
    <w:rsid w:val="275467C6"/>
    <w:rsid w:val="2832CAED"/>
    <w:rsid w:val="284EEF11"/>
    <w:rsid w:val="292997B2"/>
    <w:rsid w:val="2949D5E9"/>
    <w:rsid w:val="2966883C"/>
    <w:rsid w:val="2A361493"/>
    <w:rsid w:val="2A3E1426"/>
    <w:rsid w:val="2BE058C1"/>
    <w:rsid w:val="30E9E5A7"/>
    <w:rsid w:val="31294F2B"/>
    <w:rsid w:val="31ABCF2B"/>
    <w:rsid w:val="33A12982"/>
    <w:rsid w:val="33FE9B86"/>
    <w:rsid w:val="34A67EAF"/>
    <w:rsid w:val="34B030DA"/>
    <w:rsid w:val="34E74000"/>
    <w:rsid w:val="37CB3B8F"/>
    <w:rsid w:val="387FBBED"/>
    <w:rsid w:val="3A6E83DA"/>
    <w:rsid w:val="3A9DCB24"/>
    <w:rsid w:val="3B3D9E7A"/>
    <w:rsid w:val="3BF53E0D"/>
    <w:rsid w:val="3DE8E2CD"/>
    <w:rsid w:val="3EAF7A0E"/>
    <w:rsid w:val="3F231458"/>
    <w:rsid w:val="42F65548"/>
    <w:rsid w:val="46657E83"/>
    <w:rsid w:val="46CB6781"/>
    <w:rsid w:val="48D65E52"/>
    <w:rsid w:val="4C54B815"/>
    <w:rsid w:val="4C96954A"/>
    <w:rsid w:val="4CBBDD2E"/>
    <w:rsid w:val="4CF80D94"/>
    <w:rsid w:val="4CFA4B14"/>
    <w:rsid w:val="4D407D46"/>
    <w:rsid w:val="50818EE2"/>
    <w:rsid w:val="5125A3D0"/>
    <w:rsid w:val="517087BC"/>
    <w:rsid w:val="533AD3FC"/>
    <w:rsid w:val="53F9B7CF"/>
    <w:rsid w:val="544F6FD3"/>
    <w:rsid w:val="56149FC6"/>
    <w:rsid w:val="578C6278"/>
    <w:rsid w:val="5A0869A8"/>
    <w:rsid w:val="5A58A855"/>
    <w:rsid w:val="5BDCA985"/>
    <w:rsid w:val="5C371F0F"/>
    <w:rsid w:val="5C5B8BC8"/>
    <w:rsid w:val="5D8B18FF"/>
    <w:rsid w:val="5DA008F5"/>
    <w:rsid w:val="5DE8BE58"/>
    <w:rsid w:val="5E830064"/>
    <w:rsid w:val="5F3A2854"/>
    <w:rsid w:val="5FED2F38"/>
    <w:rsid w:val="60F676E2"/>
    <w:rsid w:val="6150B348"/>
    <w:rsid w:val="63FA11BC"/>
    <w:rsid w:val="64D15F5C"/>
    <w:rsid w:val="652CCC23"/>
    <w:rsid w:val="677B3ECF"/>
    <w:rsid w:val="6A865CC4"/>
    <w:rsid w:val="6DDFE316"/>
    <w:rsid w:val="71CB252E"/>
    <w:rsid w:val="72D76C9B"/>
    <w:rsid w:val="75D8B258"/>
    <w:rsid w:val="76123330"/>
    <w:rsid w:val="76E0CA7C"/>
    <w:rsid w:val="77D643A2"/>
    <w:rsid w:val="792BF4AD"/>
    <w:rsid w:val="7CD8A4A4"/>
    <w:rsid w:val="7E464837"/>
    <w:rsid w:val="7F81B04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732C"/>
  <w15:chartTrackingRefBased/>
  <w15:docId w15:val="{2874AF80-D87F-4EA5-8AE8-21FDE590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F1"/>
    <w:pPr>
      <w:spacing w:line="240" w:lineRule="auto"/>
    </w:pPr>
    <w:rPr>
      <w:rFonts w:ascii="Times New Roman" w:hAnsi="Times New Roman"/>
      <w:sz w:val="28"/>
    </w:rPr>
  </w:style>
  <w:style w:type="paragraph" w:styleId="Heading1">
    <w:name w:val="heading 1"/>
    <w:basedOn w:val="Normal"/>
    <w:next w:val="Normal"/>
    <w:link w:val="Heading1Char"/>
    <w:qFormat/>
    <w:rsid w:val="00790A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0A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90A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90A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0A4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90A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A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A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A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A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0A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90A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0A46"/>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90A46"/>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90A4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90A4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90A4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90A4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90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46"/>
    <w:pPr>
      <w:spacing w:before="160"/>
      <w:jc w:val="center"/>
    </w:pPr>
    <w:rPr>
      <w:i/>
      <w:iCs/>
      <w:color w:val="404040" w:themeColor="text1" w:themeTint="BF"/>
    </w:rPr>
  </w:style>
  <w:style w:type="character" w:customStyle="1" w:styleId="QuoteChar">
    <w:name w:val="Quote Char"/>
    <w:basedOn w:val="DefaultParagraphFont"/>
    <w:link w:val="Quote"/>
    <w:uiPriority w:val="29"/>
    <w:rsid w:val="00790A46"/>
    <w:rPr>
      <w:rFonts w:ascii="Times New Roman" w:hAnsi="Times New Roman"/>
      <w:i/>
      <w:iCs/>
      <w:color w:val="404040" w:themeColor="text1" w:themeTint="BF"/>
      <w:sz w:val="28"/>
    </w:rPr>
  </w:style>
  <w:style w:type="paragraph" w:styleId="ListParagraph">
    <w:name w:val="List Paragraph"/>
    <w:basedOn w:val="Normal"/>
    <w:qFormat/>
    <w:rsid w:val="00790A46"/>
    <w:pPr>
      <w:ind w:left="720"/>
      <w:contextualSpacing/>
    </w:pPr>
  </w:style>
  <w:style w:type="character" w:styleId="IntenseEmphasis">
    <w:name w:val="Intense Emphasis"/>
    <w:basedOn w:val="DefaultParagraphFont"/>
    <w:uiPriority w:val="21"/>
    <w:qFormat/>
    <w:rsid w:val="00790A46"/>
    <w:rPr>
      <w:i/>
      <w:iCs/>
      <w:color w:val="2E74B5" w:themeColor="accent1" w:themeShade="BF"/>
    </w:rPr>
  </w:style>
  <w:style w:type="paragraph" w:styleId="IntenseQuote">
    <w:name w:val="Intense Quote"/>
    <w:basedOn w:val="Normal"/>
    <w:next w:val="Normal"/>
    <w:link w:val="IntenseQuoteChar"/>
    <w:uiPriority w:val="30"/>
    <w:qFormat/>
    <w:rsid w:val="00790A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A46"/>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90A46"/>
    <w:rPr>
      <w:b/>
      <w:bCs/>
      <w:smallCaps/>
      <w:color w:val="2E74B5" w:themeColor="accent1" w:themeShade="BF"/>
      <w:spacing w:val="5"/>
    </w:rPr>
  </w:style>
  <w:style w:type="character" w:styleId="Hyperlink">
    <w:name w:val="Hyperlink"/>
    <w:basedOn w:val="DefaultParagraphFont"/>
    <w:uiPriority w:val="99"/>
    <w:unhideWhenUsed/>
    <w:rsid w:val="00546D5E"/>
    <w:rPr>
      <w:color w:val="0563C1" w:themeColor="hyperlink"/>
      <w:u w:val="single"/>
    </w:rPr>
  </w:style>
  <w:style w:type="character" w:styleId="UnresolvedMention">
    <w:name w:val="Unresolved Mention"/>
    <w:basedOn w:val="DefaultParagraphFont"/>
    <w:uiPriority w:val="99"/>
    <w:semiHidden/>
    <w:unhideWhenUsed/>
    <w:rsid w:val="00546D5E"/>
    <w:rPr>
      <w:color w:val="605E5C"/>
      <w:shd w:val="clear" w:color="auto" w:fill="E1DFDD"/>
    </w:rPr>
  </w:style>
  <w:style w:type="table" w:styleId="TableGrid">
    <w:name w:val="Table Grid"/>
    <w:basedOn w:val="TableNormal"/>
    <w:uiPriority w:val="39"/>
    <w:rsid w:val="005E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16A"/>
    <w:rPr>
      <w:sz w:val="16"/>
      <w:szCs w:val="16"/>
    </w:rPr>
  </w:style>
  <w:style w:type="paragraph" w:styleId="CommentText">
    <w:name w:val="annotation text"/>
    <w:basedOn w:val="Normal"/>
    <w:link w:val="CommentTextChar"/>
    <w:uiPriority w:val="99"/>
    <w:unhideWhenUsed/>
    <w:rsid w:val="0031116A"/>
    <w:rPr>
      <w:sz w:val="20"/>
      <w:szCs w:val="20"/>
    </w:rPr>
  </w:style>
  <w:style w:type="character" w:customStyle="1" w:styleId="CommentTextChar">
    <w:name w:val="Comment Text Char"/>
    <w:basedOn w:val="DefaultParagraphFont"/>
    <w:link w:val="CommentText"/>
    <w:uiPriority w:val="99"/>
    <w:rsid w:val="003111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116A"/>
    <w:rPr>
      <w:b/>
      <w:bCs/>
    </w:rPr>
  </w:style>
  <w:style w:type="character" w:customStyle="1" w:styleId="CommentSubjectChar">
    <w:name w:val="Comment Subject Char"/>
    <w:basedOn w:val="CommentTextChar"/>
    <w:link w:val="CommentSubject"/>
    <w:uiPriority w:val="99"/>
    <w:semiHidden/>
    <w:rsid w:val="0031116A"/>
    <w:rPr>
      <w:rFonts w:ascii="Times New Roman" w:hAnsi="Times New Roman"/>
      <w:b/>
      <w:bCs/>
      <w:sz w:val="20"/>
      <w:szCs w:val="20"/>
    </w:rPr>
  </w:style>
  <w:style w:type="paragraph" w:styleId="Revision">
    <w:name w:val="Revision"/>
    <w:hidden/>
    <w:uiPriority w:val="99"/>
    <w:semiHidden/>
    <w:rsid w:val="00EB055F"/>
    <w:pPr>
      <w:spacing w:after="0" w:line="240" w:lineRule="auto"/>
    </w:pPr>
    <w:rPr>
      <w:rFonts w:ascii="Times New Roman" w:hAnsi="Times New Roman"/>
      <w:sz w:val="28"/>
    </w:rPr>
  </w:style>
  <w:style w:type="paragraph" w:styleId="NormalWeb">
    <w:name w:val="Normal (Web)"/>
    <w:basedOn w:val="Normal"/>
    <w:uiPriority w:val="99"/>
    <w:semiHidden/>
    <w:unhideWhenUsed/>
    <w:rsid w:val="00843AD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023696"/>
    <w:rPr>
      <w:b/>
      <w:bCs/>
    </w:rPr>
  </w:style>
  <w:style w:type="paragraph" w:styleId="FootnoteText">
    <w:name w:val="footnote text"/>
    <w:basedOn w:val="Normal"/>
    <w:link w:val="FootnoteTextChar"/>
    <w:uiPriority w:val="99"/>
    <w:semiHidden/>
    <w:unhideWhenUsed/>
    <w:rsid w:val="0073221E"/>
    <w:pPr>
      <w:spacing w:after="0"/>
    </w:pPr>
    <w:rPr>
      <w:sz w:val="20"/>
      <w:szCs w:val="20"/>
    </w:rPr>
  </w:style>
  <w:style w:type="character" w:customStyle="1" w:styleId="FootnoteTextChar">
    <w:name w:val="Footnote Text Char"/>
    <w:basedOn w:val="DefaultParagraphFont"/>
    <w:link w:val="FootnoteText"/>
    <w:uiPriority w:val="99"/>
    <w:semiHidden/>
    <w:rsid w:val="0073221E"/>
    <w:rPr>
      <w:rFonts w:ascii="Times New Roman" w:hAnsi="Times New Roman"/>
      <w:sz w:val="20"/>
      <w:szCs w:val="20"/>
    </w:rPr>
  </w:style>
  <w:style w:type="character" w:styleId="FootnoteReference">
    <w:name w:val="footnote reference"/>
    <w:basedOn w:val="DefaultParagraphFont"/>
    <w:uiPriority w:val="99"/>
    <w:semiHidden/>
    <w:unhideWhenUsed/>
    <w:rsid w:val="0073221E"/>
    <w:rPr>
      <w:vertAlign w:val="superscript"/>
    </w:rPr>
  </w:style>
  <w:style w:type="paragraph" w:styleId="Header">
    <w:name w:val="header"/>
    <w:basedOn w:val="Normal"/>
    <w:link w:val="HeaderChar"/>
    <w:uiPriority w:val="99"/>
    <w:semiHidden/>
    <w:unhideWhenUsed/>
    <w:rsid w:val="002B0F07"/>
    <w:pPr>
      <w:tabs>
        <w:tab w:val="center" w:pos="4680"/>
        <w:tab w:val="right" w:pos="9360"/>
      </w:tabs>
      <w:spacing w:after="0"/>
    </w:pPr>
  </w:style>
  <w:style w:type="character" w:customStyle="1" w:styleId="HeaderChar">
    <w:name w:val="Header Char"/>
    <w:basedOn w:val="DefaultParagraphFont"/>
    <w:link w:val="Header"/>
    <w:uiPriority w:val="99"/>
    <w:semiHidden/>
    <w:rsid w:val="002B0F07"/>
    <w:rPr>
      <w:rFonts w:ascii="Times New Roman" w:hAnsi="Times New Roman"/>
      <w:sz w:val="28"/>
    </w:rPr>
  </w:style>
  <w:style w:type="paragraph" w:styleId="Footer">
    <w:name w:val="footer"/>
    <w:basedOn w:val="Normal"/>
    <w:link w:val="FooterChar"/>
    <w:uiPriority w:val="99"/>
    <w:semiHidden/>
    <w:unhideWhenUsed/>
    <w:rsid w:val="002B0F07"/>
    <w:pPr>
      <w:tabs>
        <w:tab w:val="center" w:pos="4680"/>
        <w:tab w:val="right" w:pos="9360"/>
      </w:tabs>
      <w:spacing w:after="0"/>
    </w:pPr>
  </w:style>
  <w:style w:type="character" w:customStyle="1" w:styleId="FooterChar">
    <w:name w:val="Footer Char"/>
    <w:basedOn w:val="DefaultParagraphFont"/>
    <w:link w:val="Footer"/>
    <w:uiPriority w:val="99"/>
    <w:semiHidden/>
    <w:rsid w:val="002B0F0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in.andros@und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rin.andros@und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ned.gov.md/sites/default/files/document/attachments/lista_intreprinderilor_mari_ce_au_obligatia_de_a_efectua_audit_energetic.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69032-c873-4ad1-8c0b-b676f3760a3a" xsi:nil="true"/>
    <lcf76f155ced4ddcb4097134ff3c332f xmlns="646ddb8b-b6e4-420b-b9aa-a6548d76d9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D7B7-3E29-45A4-9142-BC622B27098B}">
  <ds:schemaRefs>
    <ds:schemaRef ds:uri="c2869032-c873-4ad1-8c0b-b676f3760a3a"/>
    <ds:schemaRef ds:uri="646ddb8b-b6e4-420b-b9aa-a6548d76d91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2928898-8D23-4E26-8582-25C4DE54E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ddb8b-b6e4-420b-b9aa-a6548d76d91e"/>
    <ds:schemaRef ds:uri="c2869032-c873-4ad1-8c0b-b676f376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3D888-0594-4FFE-A8C8-739075FF869A}">
  <ds:schemaRefs>
    <ds:schemaRef ds:uri="http://schemas.microsoft.com/sharepoint/v3/contenttype/forms"/>
  </ds:schemaRefs>
</ds:datastoreItem>
</file>

<file path=customXml/itemProps4.xml><?xml version="1.0" encoding="utf-8"?>
<ds:datastoreItem xmlns:ds="http://schemas.openxmlformats.org/officeDocument/2006/customXml" ds:itemID="{A66A4C54-96AC-4466-97AE-0CD3E28F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4616</Words>
  <Characters>26313</Characters>
  <Application>Microsoft Office Word</Application>
  <DocSecurity>0</DocSecurity>
  <Lines>219</Lines>
  <Paragraphs>61</Paragraphs>
  <ScaleCrop>false</ScaleCrop>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Andros</dc:creator>
  <cp:keywords/>
  <dc:description/>
  <cp:lastModifiedBy>Serghei Dulghieri</cp:lastModifiedBy>
  <cp:revision>166</cp:revision>
  <cp:lastPrinted>2026-02-14T05:27:00Z</cp:lastPrinted>
  <dcterms:created xsi:type="dcterms:W3CDTF">2026-04-01T03:57:00Z</dcterms:created>
  <dcterms:modified xsi:type="dcterms:W3CDTF">2026-05-14T06:14:00Z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y fmtid="{D5CDD505-2E9C-101B-9397-08002B2CF9AE}" pid="3" name="MediaServiceImageTags">
    <vt:lpwstr/>
  </property>
</Properties>
</file>