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FDC6" w14:textId="77777777" w:rsidR="004463E3" w:rsidRDefault="00190C9A">
      <w:pPr>
        <w:pStyle w:val="Heading1"/>
        <w:numPr>
          <w:ilvl w:val="1"/>
          <w:numId w:val="1"/>
        </w:numPr>
        <w:rPr>
          <w:rFonts w:ascii="Calibri" w:eastAsia="Calibri" w:hAnsi="Calibri" w:cs="Calibri"/>
          <w:b/>
          <w:i/>
          <w:sz w:val="22"/>
          <w:szCs w:val="22"/>
        </w:rPr>
      </w:pPr>
      <w:bookmarkStart w:id="0" w:name="_heading=h.gjdgxs" w:colFirst="0" w:colLast="0"/>
      <w:bookmarkEnd w:id="0"/>
      <w:r>
        <w:rPr>
          <w:rFonts w:ascii="Calibri" w:eastAsia="Calibri" w:hAnsi="Calibri" w:cs="Calibri"/>
          <w:b/>
          <w:sz w:val="22"/>
          <w:szCs w:val="22"/>
        </w:rPr>
        <w:t xml:space="preserve">Terms of Reference (ToR) for PARTNER Capacity/ Micro Assessment </w:t>
      </w:r>
    </w:p>
    <w:p w14:paraId="384575BD"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This TOR has been developed to guide United Nations agencies (UN agencies), third party service providers and implementing partners (IPs) through the objectives, scope, logistics and deliverables of performing micro assessments.</w:t>
      </w:r>
    </w:p>
    <w:p w14:paraId="5BC2A136" w14:textId="77777777" w:rsidR="004463E3" w:rsidRDefault="00190C9A">
      <w:pPr>
        <w:pBdr>
          <w:top w:val="nil"/>
          <w:left w:val="nil"/>
          <w:bottom w:val="nil"/>
          <w:right w:val="nil"/>
          <w:between w:val="nil"/>
        </w:pBdr>
        <w:spacing w:after="160"/>
        <w:rPr>
          <w:rFonts w:ascii="Calibri" w:eastAsia="Calibri" w:hAnsi="Calibri" w:cs="Calibri"/>
          <w:b/>
          <w:i/>
          <w:sz w:val="22"/>
          <w:szCs w:val="22"/>
        </w:rPr>
      </w:pPr>
      <w:r>
        <w:rPr>
          <w:rFonts w:ascii="Calibri" w:eastAsia="Calibri" w:hAnsi="Calibri" w:cs="Calibri"/>
          <w:b/>
          <w:sz w:val="22"/>
          <w:szCs w:val="22"/>
        </w:rPr>
        <w:t>Objective and scope of the micro assessment</w:t>
      </w:r>
    </w:p>
    <w:p w14:paraId="54AF6E61"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partner capacity/ micro assessment is performed by a third party service provider and includes a site visit to the IP. The assessment primarily consists of interviews with IP personnel and a review of relevant documentation sufficient to complete the assessment questionnaire (Annex 2). The questionnaire provides an overall risk rating based on responses provided:</w:t>
      </w:r>
    </w:p>
    <w:p w14:paraId="692A704E" w14:textId="6D695C5A" w:rsidR="004463E3" w:rsidRDefault="00190C9A" w:rsidP="42AB921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sidRPr="42AB921A">
        <w:rPr>
          <w:rFonts w:ascii="Calibri" w:eastAsia="Calibri" w:hAnsi="Calibri" w:cs="Calibri"/>
          <w:b/>
          <w:bCs/>
          <w:sz w:val="22"/>
          <w:szCs w:val="22"/>
        </w:rPr>
        <w:t>Low risk –</w:t>
      </w:r>
      <w:r w:rsidRPr="42AB921A">
        <w:rPr>
          <w:rFonts w:ascii="Calibri" w:eastAsia="Calibri" w:hAnsi="Calibri" w:cs="Calibri"/>
          <w:sz w:val="22"/>
          <w:szCs w:val="22"/>
        </w:rPr>
        <w:t xml:space="preserve"> Indicates a well-developed financial management system and functioning control framework with a low likelihood of negative impact on the IP’s ability to execute the</w:t>
      </w:r>
      <w:r w:rsidR="002B3890">
        <w:rPr>
          <w:rFonts w:ascii="Calibri" w:eastAsia="Calibri" w:hAnsi="Calibri" w:cs="Calibri"/>
          <w:sz w:val="22"/>
          <w:szCs w:val="22"/>
        </w:rPr>
        <w:t xml:space="preserve"> </w:t>
      </w:r>
      <w:r w:rsidRPr="42AB921A">
        <w:rPr>
          <w:rFonts w:ascii="Calibri" w:eastAsia="Calibri" w:hAnsi="Calibri" w:cs="Calibri"/>
          <w:sz w:val="22"/>
          <w:szCs w:val="22"/>
        </w:rPr>
        <w:t xml:space="preserve"> programme in accordance with the work plan.</w:t>
      </w:r>
    </w:p>
    <w:p w14:paraId="1C233DD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Moderate</w:t>
      </w:r>
      <w:r>
        <w:rPr>
          <w:rFonts w:ascii="Calibri" w:eastAsia="Calibri" w:hAnsi="Calibri" w:cs="Calibri"/>
          <w:b/>
          <w:sz w:val="22"/>
          <w:szCs w:val="22"/>
          <w:vertAlign w:val="superscript"/>
        </w:rPr>
        <w:footnoteReference w:id="2"/>
      </w:r>
      <w:r>
        <w:rPr>
          <w:rFonts w:ascii="Calibri" w:eastAsia="Calibri" w:hAnsi="Calibri" w:cs="Calibri"/>
          <w:b/>
          <w:sz w:val="22"/>
          <w:szCs w:val="22"/>
        </w:rPr>
        <w:t xml:space="preserve"> risk </w:t>
      </w:r>
      <w:r>
        <w:rPr>
          <w:rFonts w:ascii="Calibri" w:eastAsia="Calibri" w:hAnsi="Calibri" w:cs="Calibri"/>
          <w:sz w:val="22"/>
          <w:szCs w:val="22"/>
        </w:rPr>
        <w:t>– Indicates a developed financial management system and control framework with moderate likelihood of potential negative impact on the IP’s ability to execute the programme in accordance with the work plan.</w:t>
      </w:r>
    </w:p>
    <w:p w14:paraId="0F087BB0"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Significant risk</w:t>
      </w:r>
      <w:r>
        <w:rPr>
          <w:rFonts w:ascii="Calibri" w:eastAsia="Calibri" w:hAnsi="Calibri" w:cs="Calibri"/>
          <w:sz w:val="22"/>
          <w:szCs w:val="22"/>
        </w:rPr>
        <w:t xml:space="preserve"> – Indicates an underdeveloped financial management system or control framework with a significant likelihood of potential negative impact on the IP’s ability to execute the programme in accordance with the work plan.</w:t>
      </w:r>
    </w:p>
    <w:p w14:paraId="537DB7D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 xml:space="preserve">High risk </w:t>
      </w:r>
      <w:r>
        <w:rPr>
          <w:rFonts w:ascii="Calibri" w:eastAsia="Calibri" w:hAnsi="Calibri" w:cs="Calibri"/>
          <w:sz w:val="22"/>
          <w:szCs w:val="22"/>
        </w:rPr>
        <w:t>– Indicates an underdeveloped financial management system and control framework with a high likelihood of potential negative impact on the IP’s ability to execute the programme in accordance with the work plan.</w:t>
      </w:r>
    </w:p>
    <w:p w14:paraId="1902E06B" w14:textId="77777777" w:rsidR="004463E3" w:rsidRDefault="00190C9A">
      <w:pPr>
        <w:pBdr>
          <w:top w:val="nil"/>
          <w:left w:val="nil"/>
          <w:bottom w:val="nil"/>
          <w:right w:val="nil"/>
          <w:between w:val="nil"/>
        </w:pBdr>
        <w:spacing w:before="40" w:after="80"/>
        <w:rPr>
          <w:rFonts w:ascii="Calibri" w:eastAsia="Calibri" w:hAnsi="Calibri" w:cs="Calibri"/>
          <w:b/>
          <w:sz w:val="22"/>
          <w:szCs w:val="22"/>
        </w:rPr>
      </w:pPr>
      <w:r>
        <w:rPr>
          <w:rFonts w:ascii="Calibri" w:eastAsia="Calibri" w:hAnsi="Calibri" w:cs="Calibri"/>
          <w:sz w:val="22"/>
          <w:szCs w:val="22"/>
        </w:rPr>
        <w:t>The overall risk rating is used by the UN agencies, along with other available information (e.g. history of engagement with the agency and previous assurance results), to determine the type and frequency of assurance activities as per each agency’s guidelines and can be taken into consideration when selecting the appropriate cash transfer modality for an IP, based on each agency’s business model (further detailed in section 8).</w:t>
      </w:r>
    </w:p>
    <w:p w14:paraId="1BDAAB15"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Logistics</w:t>
      </w:r>
    </w:p>
    <w:p w14:paraId="2EE20E36" w14:textId="77777777" w:rsidR="004463E3" w:rsidRDefault="00190C9A">
      <w:pPr>
        <w:pBdr>
          <w:top w:val="nil"/>
          <w:left w:val="nil"/>
          <w:bottom w:val="nil"/>
          <w:right w:val="nil"/>
          <w:between w:val="nil"/>
        </w:pBdr>
        <w:spacing w:before="120" w:after="120"/>
        <w:jc w:val="left"/>
        <w:rPr>
          <w:rFonts w:ascii="Calibri" w:eastAsia="Calibri" w:hAnsi="Calibri" w:cs="Calibri"/>
          <w:sz w:val="22"/>
          <w:szCs w:val="22"/>
        </w:rPr>
      </w:pPr>
      <w:r>
        <w:rPr>
          <w:rFonts w:ascii="Calibri" w:eastAsia="Calibri" w:hAnsi="Calibri" w:cs="Calibri"/>
          <w:sz w:val="22"/>
          <w:szCs w:val="22"/>
        </w:rPr>
        <w:t>The assessment should be completed (including the site visit and report issuance) within eight weeks of engaging the third party service provider. The UN agency/ies’ focal point and/or inter-agency coordinator will introduce the service provider to the IP and facilitate the site visit.</w:t>
      </w:r>
    </w:p>
    <w:p w14:paraId="3147EF55" w14:textId="77777777" w:rsidR="004463E3" w:rsidRDefault="00190C9A">
      <w:pPr>
        <w:pBdr>
          <w:top w:val="nil"/>
          <w:left w:val="nil"/>
          <w:bottom w:val="nil"/>
          <w:right w:val="nil"/>
          <w:between w:val="nil"/>
        </w:pBdr>
        <w:spacing w:before="120" w:after="120"/>
        <w:jc w:val="left"/>
        <w:rPr>
          <w:rFonts w:ascii="Calibri" w:eastAsia="Calibri" w:hAnsi="Calibri" w:cs="Calibri"/>
          <w:sz w:val="22"/>
          <w:szCs w:val="22"/>
        </w:rPr>
      </w:pPr>
      <w:r>
        <w:rPr>
          <w:rFonts w:ascii="Calibri" w:eastAsia="Calibri" w:hAnsi="Calibri" w:cs="Calibri"/>
          <w:sz w:val="22"/>
          <w:szCs w:val="22"/>
        </w:rPr>
        <w:t>The UN agency/ies provide the following documentation to the service provider for review before starting fieldwork:</w:t>
      </w:r>
    </w:p>
    <w:p w14:paraId="2FB54ED2"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 xml:space="preserve">Copy of the latest macro assessments performed for the country, as applicable; </w:t>
      </w:r>
    </w:p>
    <w:p w14:paraId="599D97F1"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UN agency/ies’ work plan(s) and programme documents with the IP</w:t>
      </w:r>
    </w:p>
    <w:p w14:paraId="0DDAE79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 xml:space="preserve">Copies of reports of any partner/ micro assessments or other relevant assessment previously performed on the IP e.g. review of the IPs or Country’s Public Procurement System to determine its compatibility with the UN's Procurement Rules and Regulations </w:t>
      </w:r>
    </w:p>
    <w:p w14:paraId="21F39367"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Copies of reports of any financial or internal control audits and spot checks previously performed on the IP; and</w:t>
      </w:r>
    </w:p>
    <w:p w14:paraId="186AA073"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IP and Programme information as per Annex 1</w:t>
      </w:r>
    </w:p>
    <w:p w14:paraId="4D9A20F0"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lastRenderedPageBreak/>
        <w:t>Any other documentation that may help the service provider better understand the context from a United Nations perspective.</w:t>
      </w:r>
    </w:p>
    <w:p w14:paraId="2CEE63C4"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b/>
          <w:sz w:val="22"/>
          <w:szCs w:val="22"/>
        </w:rPr>
        <w:t>Procedures and deliverables</w:t>
      </w:r>
    </w:p>
    <w:p w14:paraId="5076221B"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receives general information regarding the IP and the programme from the UN agency/ies’ focal point and/or the inter-agency coordinator in preparation for the assessment (see Annex 1 and Items to be provided above). The service provider reviews this documentation in advance of performing a site visit to the IP. The service provider should also provide the IP with an advance request of the documents and interviews they would like to have while on site, to ensure efficient use of time.</w:t>
      </w:r>
    </w:p>
    <w:p w14:paraId="5F073FB9"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also completes the micro assessment questionnaire (Annex 2, with instructions) based on the procedures performed during the assessment period. The service provider discusses the results of the questionnaire with relevant IP personnel and the UN agency/ies’ focal point before finalizing it. Upon finalization, the service provider delivers an executive summary, detailing the overall risk rating and specific identified risks, and the completed questionnaire.</w:t>
      </w:r>
    </w:p>
    <w:p w14:paraId="342474D9" w14:textId="77777777" w:rsidR="004463E3" w:rsidRDefault="00190C9A">
      <w:pPr>
        <w:pBdr>
          <w:top w:val="nil"/>
          <w:left w:val="nil"/>
          <w:bottom w:val="nil"/>
          <w:right w:val="nil"/>
          <w:between w:val="nil"/>
        </w:pBdr>
        <w:spacing w:after="160"/>
        <w:jc w:val="left"/>
        <w:rPr>
          <w:rFonts w:ascii="Calibri" w:eastAsia="Calibri" w:hAnsi="Calibri" w:cs="Calibri"/>
          <w:b/>
          <w:i/>
          <w:sz w:val="22"/>
          <w:szCs w:val="22"/>
        </w:rPr>
      </w:pPr>
      <w:r>
        <w:rPr>
          <w:rFonts w:ascii="Calibri" w:eastAsia="Calibri" w:hAnsi="Calibri" w:cs="Calibri"/>
          <w:sz w:val="22"/>
          <w:szCs w:val="22"/>
        </w:rPr>
        <w:t xml:space="preserve">The micro assessment report is to be delivered in the format given in Annex 3. </w:t>
      </w:r>
    </w:p>
    <w:p w14:paraId="75A37E19" w14:textId="77777777" w:rsidR="004463E3" w:rsidRDefault="00190C9A">
      <w:pPr>
        <w:pBdr>
          <w:top w:val="nil"/>
          <w:left w:val="nil"/>
          <w:bottom w:val="nil"/>
          <w:right w:val="nil"/>
          <w:between w:val="nil"/>
        </w:pBdr>
        <w:spacing w:after="160"/>
        <w:rPr>
          <w:rFonts w:ascii="Calibri" w:eastAsia="Calibri" w:hAnsi="Calibri" w:cs="Calibri"/>
          <w:b/>
          <w:i/>
          <w:sz w:val="22"/>
          <w:szCs w:val="22"/>
        </w:rPr>
      </w:pPr>
      <w:r>
        <w:rPr>
          <w:rFonts w:ascii="Calibri" w:eastAsia="Calibri" w:hAnsi="Calibri" w:cs="Calibri"/>
          <w:b/>
          <w:sz w:val="22"/>
          <w:szCs w:val="22"/>
        </w:rPr>
        <w:t>Qualifications of the third party service provider</w:t>
      </w:r>
    </w:p>
    <w:p w14:paraId="1C297A0C"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must be experienced in performing assessments similar to a micro assessment and assessing risks related to organizational financial management capacity (i.e. accounting, reporting, procurement and internal controls). The service provider must also have knowledge of the United Nations system and the development sector.</w:t>
      </w:r>
    </w:p>
    <w:p w14:paraId="7E3BE6A9"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 xml:space="preserve">For non-LTA holders, CVs of all members of the assessment team should be provided to the commissioning UN agency/ies and should include details on engagements carried out by relevant staff, including ongoing assignments indicating responsibilities assumed by them and their qualifications and experience in undertaking similar assessments. </w:t>
      </w:r>
    </w:p>
    <w:p w14:paraId="5B0CEC76" w14:textId="77777777" w:rsidR="004463E3" w:rsidRDefault="004463E3">
      <w:pPr>
        <w:spacing w:after="0"/>
        <w:jc w:val="left"/>
        <w:rPr>
          <w:rFonts w:ascii="Calibri" w:eastAsia="Calibri" w:hAnsi="Calibri" w:cs="Calibri"/>
          <w:b/>
          <w:i/>
          <w:sz w:val="22"/>
          <w:szCs w:val="22"/>
        </w:rPr>
      </w:pPr>
    </w:p>
    <w:p w14:paraId="19D84981" w14:textId="77777777" w:rsidR="004463E3" w:rsidRDefault="00190C9A">
      <w:pPr>
        <w:spacing w:after="0"/>
        <w:jc w:val="left"/>
        <w:rPr>
          <w:rFonts w:ascii="Calibri" w:eastAsia="Calibri" w:hAnsi="Calibri" w:cs="Calibri"/>
          <w:b/>
          <w:sz w:val="22"/>
          <w:szCs w:val="22"/>
        </w:rPr>
      </w:pPr>
      <w:r>
        <w:br w:type="page"/>
      </w:r>
    </w:p>
    <w:p w14:paraId="19889D27" w14:textId="77777777" w:rsidR="004463E3" w:rsidRDefault="00190C9A">
      <w:pPr>
        <w:keepNext/>
        <w:pBdr>
          <w:top w:val="nil"/>
          <w:left w:val="nil"/>
          <w:bottom w:val="nil"/>
          <w:right w:val="nil"/>
          <w:between w:val="nil"/>
        </w:pBdr>
        <w:spacing w:after="160"/>
        <w:jc w:val="center"/>
        <w:rPr>
          <w:rFonts w:ascii="Calibri" w:eastAsia="Calibri" w:hAnsi="Calibri" w:cs="Calibri"/>
          <w:b/>
          <w:sz w:val="22"/>
          <w:szCs w:val="22"/>
        </w:rPr>
      </w:pPr>
      <w:r>
        <w:rPr>
          <w:rFonts w:ascii="Calibri" w:eastAsia="Calibri" w:hAnsi="Calibri" w:cs="Calibri"/>
          <w:b/>
          <w:sz w:val="22"/>
          <w:szCs w:val="22"/>
        </w:rPr>
        <w:t>Annex 1. IP and Programme Information</w:t>
      </w:r>
    </w:p>
    <w:p w14:paraId="290198FE" w14:textId="77777777" w:rsidR="004463E3" w:rsidRDefault="00190C9A">
      <w:p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The following information should be completed at the start of the micro assessment and annexed to the report as per the format in Annex 3.</w:t>
      </w: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4594"/>
        <w:gridCol w:w="4396"/>
      </w:tblGrid>
      <w:tr w:rsidR="004463E3" w14:paraId="5E9F3695" w14:textId="77777777">
        <w:tc>
          <w:tcPr>
            <w:tcW w:w="4594" w:type="dxa"/>
          </w:tcPr>
          <w:p w14:paraId="3D57081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4EDF1115"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0E2D2552" w14:textId="77777777">
        <w:tc>
          <w:tcPr>
            <w:tcW w:w="4594" w:type="dxa"/>
          </w:tcPr>
          <w:p w14:paraId="1CFDD7CF"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code or ID in UNICEF, UNDP, UNFPA records (as applicable)</w:t>
            </w:r>
          </w:p>
        </w:tc>
        <w:tc>
          <w:tcPr>
            <w:tcW w:w="4396" w:type="dxa"/>
          </w:tcPr>
          <w:p w14:paraId="514CE655"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FC934E4" w14:textId="77777777">
        <w:tc>
          <w:tcPr>
            <w:tcW w:w="4594" w:type="dxa"/>
          </w:tcPr>
          <w:p w14:paraId="74FD777A"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3ADD8878"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4B9B6FA7" w14:textId="77777777">
        <w:tc>
          <w:tcPr>
            <w:tcW w:w="4594" w:type="dxa"/>
          </w:tcPr>
          <w:p w14:paraId="44FEEBB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Main programmes implemented with the applicable UN Agency/ies:</w:t>
            </w:r>
          </w:p>
        </w:tc>
        <w:tc>
          <w:tcPr>
            <w:tcW w:w="4396" w:type="dxa"/>
          </w:tcPr>
          <w:p w14:paraId="02A6947F"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1B441EC7" w14:textId="77777777">
        <w:tc>
          <w:tcPr>
            <w:tcW w:w="4594" w:type="dxa"/>
          </w:tcPr>
          <w:p w14:paraId="25173742"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Key Official in charge of the UN Agency/ies’ programme(s):</w:t>
            </w:r>
          </w:p>
        </w:tc>
        <w:tc>
          <w:tcPr>
            <w:tcW w:w="4396" w:type="dxa"/>
          </w:tcPr>
          <w:p w14:paraId="06AFA470"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8E173F5" w14:textId="77777777">
        <w:tc>
          <w:tcPr>
            <w:tcW w:w="4594" w:type="dxa"/>
          </w:tcPr>
          <w:p w14:paraId="1F5D73B7"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Programme location(s):</w:t>
            </w:r>
          </w:p>
        </w:tc>
        <w:tc>
          <w:tcPr>
            <w:tcW w:w="4396" w:type="dxa"/>
          </w:tcPr>
          <w:p w14:paraId="5F2CE887"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413B1A77" w14:textId="77777777">
        <w:tc>
          <w:tcPr>
            <w:tcW w:w="4594" w:type="dxa"/>
          </w:tcPr>
          <w:p w14:paraId="5C2A73F1"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Location of records related to the UN Agency/ies’ prorgamme(s):</w:t>
            </w:r>
          </w:p>
        </w:tc>
        <w:tc>
          <w:tcPr>
            <w:tcW w:w="4396" w:type="dxa"/>
          </w:tcPr>
          <w:p w14:paraId="63AEBAA4"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63ADE9E3" w14:textId="77777777">
        <w:tc>
          <w:tcPr>
            <w:tcW w:w="4594" w:type="dxa"/>
          </w:tcPr>
          <w:p w14:paraId="13732EDC"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44D9696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00F6E175" w14:textId="77777777">
        <w:tc>
          <w:tcPr>
            <w:tcW w:w="4594" w:type="dxa"/>
          </w:tcPr>
          <w:p w14:paraId="21F29643"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Latest expenditures incurred/reported to UNICEF, UNDP and UNFPA (as applicable). Indicate the amount (in US$) and the financial reporting period ;</w:t>
            </w:r>
          </w:p>
        </w:tc>
        <w:tc>
          <w:tcPr>
            <w:tcW w:w="4396" w:type="dxa"/>
          </w:tcPr>
          <w:p w14:paraId="727B5849"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9EDCAD4" w14:textId="77777777">
        <w:tc>
          <w:tcPr>
            <w:tcW w:w="4594" w:type="dxa"/>
          </w:tcPr>
          <w:p w14:paraId="1A33FF93"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Current or latest cash transfer modality/ies used by the UN agency/ies to the IP</w:t>
            </w:r>
          </w:p>
        </w:tc>
        <w:tc>
          <w:tcPr>
            <w:tcW w:w="4396" w:type="dxa"/>
          </w:tcPr>
          <w:p w14:paraId="57E07B7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14781537" w14:textId="77777777">
        <w:tc>
          <w:tcPr>
            <w:tcW w:w="4594" w:type="dxa"/>
          </w:tcPr>
          <w:p w14:paraId="128AFE89"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7953873D"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64B14D6E" w14:textId="77777777">
        <w:tc>
          <w:tcPr>
            <w:tcW w:w="4594" w:type="dxa"/>
          </w:tcPr>
          <w:p w14:paraId="5DD2A1B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7493C9C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3D253221" w14:textId="77777777">
        <w:tc>
          <w:tcPr>
            <w:tcW w:w="4594" w:type="dxa"/>
          </w:tcPr>
          <w:p w14:paraId="00F46954"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r>
              <w:rPr>
                <w:rFonts w:ascii="Calibri" w:eastAsia="Calibri" w:hAnsi="Calibri" w:cs="Calibri"/>
                <w:b/>
                <w:sz w:val="22"/>
                <w:szCs w:val="22"/>
                <w:highlight w:val="lightGray"/>
              </w:rPr>
              <w:t>:</w:t>
            </w:r>
          </w:p>
        </w:tc>
        <w:tc>
          <w:tcPr>
            <w:tcW w:w="4396" w:type="dxa"/>
          </w:tcPr>
          <w:p w14:paraId="3B79725D"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bl>
    <w:p w14:paraId="5700E0D9" w14:textId="77777777" w:rsidR="004463E3" w:rsidRDefault="004463E3">
      <w:pPr>
        <w:rPr>
          <w:rFonts w:ascii="Calibri" w:eastAsia="Calibri" w:hAnsi="Calibri" w:cs="Calibri"/>
          <w:sz w:val="22"/>
          <w:szCs w:val="22"/>
        </w:rPr>
      </w:pPr>
    </w:p>
    <w:p w14:paraId="57BEBBE6" w14:textId="77777777" w:rsidR="004463E3" w:rsidRDefault="00190C9A">
      <w:pPr>
        <w:spacing w:after="0"/>
        <w:jc w:val="left"/>
        <w:rPr>
          <w:rFonts w:ascii="Calibri" w:eastAsia="Calibri" w:hAnsi="Calibri" w:cs="Calibri"/>
          <w:sz w:val="22"/>
          <w:szCs w:val="22"/>
        </w:rPr>
      </w:pPr>
      <w:r>
        <w:br w:type="page"/>
      </w:r>
    </w:p>
    <w:p w14:paraId="4B3B42F1" w14:textId="77777777" w:rsidR="004463E3" w:rsidRDefault="00190C9A">
      <w:pPr>
        <w:jc w:val="center"/>
        <w:rPr>
          <w:rFonts w:ascii="Calibri" w:eastAsia="Calibri" w:hAnsi="Calibri" w:cs="Calibri"/>
          <w:b/>
          <w:sz w:val="22"/>
          <w:szCs w:val="22"/>
        </w:rPr>
      </w:pPr>
      <w:r>
        <w:rPr>
          <w:rFonts w:ascii="Calibri" w:eastAsia="Calibri" w:hAnsi="Calibri" w:cs="Calibri"/>
          <w:b/>
          <w:sz w:val="22"/>
          <w:szCs w:val="22"/>
        </w:rPr>
        <w:t>Annex 2: Micro Assessment Questionnaire</w:t>
      </w:r>
    </w:p>
    <w:p w14:paraId="3B83EFF7" w14:textId="77777777" w:rsidR="004463E3" w:rsidRDefault="00190C9A">
      <w:pPr>
        <w:pBdr>
          <w:top w:val="single" w:sz="4" w:space="1" w:color="000000"/>
          <w:left w:val="single" w:sz="4" w:space="0" w:color="000000"/>
          <w:bottom w:val="single" w:sz="4" w:space="1" w:color="000000"/>
          <w:right w:val="single" w:sz="4" w:space="4" w:color="000000"/>
          <w:between w:val="nil"/>
        </w:pBdr>
        <w:spacing w:after="160"/>
        <w:rPr>
          <w:rFonts w:ascii="Calibri" w:eastAsia="Calibri" w:hAnsi="Calibri" w:cs="Calibri"/>
          <w:sz w:val="22"/>
          <w:szCs w:val="22"/>
        </w:rPr>
      </w:pPr>
      <w:r>
        <w:rPr>
          <w:rFonts w:ascii="Calibri" w:eastAsia="Calibri" w:hAnsi="Calibri" w:cs="Calibri"/>
          <w:sz w:val="22"/>
          <w:szCs w:val="22"/>
        </w:rPr>
        <w:t xml:space="preserve">Please see separately provided Excel format for the questionnaire, with calculation formulae included, </w:t>
      </w:r>
      <w:r>
        <w:rPr>
          <w:rFonts w:ascii="Calibri" w:eastAsia="Calibri" w:hAnsi="Calibri" w:cs="Calibri"/>
          <w:sz w:val="22"/>
          <w:szCs w:val="22"/>
          <w:u w:val="single"/>
        </w:rPr>
        <w:t>which has to be used</w:t>
      </w:r>
      <w:r>
        <w:rPr>
          <w:rFonts w:ascii="Calibri" w:eastAsia="Calibri" w:hAnsi="Calibri" w:cs="Calibri"/>
          <w:sz w:val="22"/>
          <w:szCs w:val="22"/>
        </w:rPr>
        <w:t xml:space="preserve">. The Excel file can also be found at </w:t>
      </w:r>
      <w:r>
        <w:rPr>
          <w:rFonts w:ascii="Calibri" w:eastAsia="Calibri" w:hAnsi="Calibri" w:cs="Calibri"/>
          <w:sz w:val="22"/>
          <w:szCs w:val="22"/>
          <w:highlight w:val="yellow"/>
        </w:rPr>
        <w:t>www.undg.org/</w:t>
      </w:r>
      <w:r>
        <w:rPr>
          <w:rFonts w:ascii="Calibri" w:eastAsia="Calibri" w:hAnsi="Calibri" w:cs="Calibri"/>
          <w:sz w:val="22"/>
          <w:szCs w:val="22"/>
        </w:rPr>
        <w:t>.</w:t>
      </w:r>
    </w:p>
    <w:p w14:paraId="4F99BD75"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b/>
          <w:sz w:val="22"/>
          <w:szCs w:val="22"/>
        </w:rPr>
        <w:t>Instructions</w:t>
      </w:r>
    </w:p>
    <w:p w14:paraId="58060C77"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 xml:space="preserve">This questionnaire contains questions related to eight subject areas. Certain questions are classified as “key questions” indicating that they have a greater impact in assessing the effective functioning of the IP’s control framework. </w:t>
      </w:r>
    </w:p>
    <w:p w14:paraId="7B191EB3"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Answer each question by selecting ‘Yes’, ‘No’ or ‘N/A’ (for ‘not applicable’) from the drop down menu in the appropriate column. </w:t>
      </w:r>
    </w:p>
    <w:p w14:paraId="0DBBA155"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Use the Risk Assessment column to assign a risk rating (high, significant, moderate or low) for each question based on the response obtained. For example, if the question addresses an item that should ideally be marked ‘Yes’ but was marked ‘No’, it should be assessed for the level of risk it presents to the effective functioning of the IP’s control framework. Assigning risk ratings to each question requires judgment by the assessor as to how the response will impact the effectiveness of the IP’s control framework. </w:t>
      </w:r>
    </w:p>
    <w:p w14:paraId="7228E75C" w14:textId="77777777" w:rsidR="004463E3" w:rsidRDefault="00190C9A">
      <w:p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b/>
          <w:color w:val="FF0000"/>
          <w:sz w:val="22"/>
          <w:szCs w:val="22"/>
        </w:rPr>
        <w:t>NB: THE APPROPRIATE RISK ASSESSMENT OR “NOT APPLICABLE” MUST BE SELECTED FOR EACH QUESTION. IF THERE ARE QUESTIONS CONTAINING “ERROR” THE RISK RATING FOR THE CATEGORY AND OVERALL WILL BE WRONGLY CALCULATED!</w:t>
      </w:r>
    </w:p>
    <w:p w14:paraId="26409814"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The risk ratings to be used are:</w:t>
      </w:r>
    </w:p>
    <w:p w14:paraId="17170139"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High </w:t>
      </w:r>
      <w:r>
        <w:rPr>
          <w:rFonts w:ascii="Calibri" w:eastAsia="Calibri" w:hAnsi="Calibri" w:cs="Calibri"/>
          <w:sz w:val="22"/>
          <w:szCs w:val="22"/>
        </w:rPr>
        <w:t xml:space="preserve">– Response to question indicates a risk to the effective functioning of the IP’s control framework that has a high likelihood of a potential negative impact on the IP’s ability to execute the programme in accordance with the work plan and stated objectives; </w:t>
      </w:r>
    </w:p>
    <w:p w14:paraId="6896A5E5"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Significant </w:t>
      </w:r>
      <w:r>
        <w:rPr>
          <w:rFonts w:ascii="Calibri" w:eastAsia="Calibri" w:hAnsi="Calibri" w:cs="Calibri"/>
          <w:sz w:val="22"/>
          <w:szCs w:val="22"/>
        </w:rPr>
        <w:t>– Response to question indicates a risk to the effective functioning of the IP’s control framework that has a significant likelihood of a potential negative impact on the IP’s ability to execute the programme in accordance with the work plan and stated objectives;</w:t>
      </w:r>
    </w:p>
    <w:p w14:paraId="76673940"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Moderate </w:t>
      </w:r>
      <w:r>
        <w:rPr>
          <w:rFonts w:ascii="Calibri" w:eastAsia="Calibri" w:hAnsi="Calibri" w:cs="Calibri"/>
          <w:sz w:val="22"/>
          <w:szCs w:val="22"/>
        </w:rPr>
        <w:t>– Response to question indicates a risk to the effective functioning of the IP’s control framework that has a moderate likelihood of a potential negative impact on the IP’s ability to execute the programme in accordance with the work plan and stated objectives; or</w:t>
      </w:r>
    </w:p>
    <w:p w14:paraId="710C3E23"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Low </w:t>
      </w:r>
      <w:r>
        <w:rPr>
          <w:rFonts w:ascii="Calibri" w:eastAsia="Calibri" w:hAnsi="Calibri" w:cs="Calibri"/>
          <w:sz w:val="22"/>
          <w:szCs w:val="22"/>
        </w:rPr>
        <w:t>– Response to question indicates a low risk to the effective functioning of the IP’s control framework and a low likelihood of a potential negative impact on the IP’s ability to execute the programme in accordance with the work plan and stated objectives.</w:t>
      </w:r>
    </w:p>
    <w:p w14:paraId="7DB8C883"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i/>
          <w:sz w:val="22"/>
          <w:szCs w:val="22"/>
        </w:rPr>
        <w:t>N/A – The specific question is not applicable for the IP and therefore no risk rating is assigned. It is not expected to be used regularly.</w:t>
      </w:r>
    </w:p>
    <w:p w14:paraId="34F136E9"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The risk points column automatically assigns the points to each question based on the response given. </w:t>
      </w:r>
    </w:p>
    <w:p w14:paraId="24D46316"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Points are assigned as follows:</w:t>
      </w:r>
    </w:p>
    <w:p w14:paraId="02E9FFB0" w14:textId="77777777" w:rsidR="004463E3" w:rsidRDefault="00190C9A">
      <w:r>
        <w:br w:type="page"/>
      </w: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8"/>
        <w:gridCol w:w="2996"/>
        <w:gridCol w:w="2996"/>
      </w:tblGrid>
      <w:tr w:rsidR="004463E3" w14:paraId="213AC15A" w14:textId="77777777">
        <w:trPr>
          <w:trHeight w:val="350"/>
        </w:trPr>
        <w:tc>
          <w:tcPr>
            <w:tcW w:w="2998" w:type="dxa"/>
          </w:tcPr>
          <w:p w14:paraId="6602BB5B" w14:textId="77777777" w:rsidR="004463E3" w:rsidRDefault="00190C9A">
            <w:pPr>
              <w:pBdr>
                <w:top w:val="nil"/>
                <w:left w:val="nil"/>
                <w:bottom w:val="nil"/>
                <w:right w:val="nil"/>
                <w:between w:val="nil"/>
              </w:pBdr>
              <w:spacing w:before="120" w:after="120"/>
              <w:rPr>
                <w:rFonts w:ascii="Calibri" w:eastAsia="Calibri" w:hAnsi="Calibri" w:cs="Calibri"/>
                <w:b/>
                <w:sz w:val="22"/>
                <w:szCs w:val="22"/>
              </w:rPr>
            </w:pPr>
            <w:r>
              <w:rPr>
                <w:rFonts w:ascii="Calibri" w:eastAsia="Calibri" w:hAnsi="Calibri" w:cs="Calibri"/>
                <w:b/>
                <w:sz w:val="22"/>
                <w:szCs w:val="22"/>
              </w:rPr>
              <w:t>Risk rating</w:t>
            </w:r>
          </w:p>
        </w:tc>
        <w:tc>
          <w:tcPr>
            <w:tcW w:w="2996" w:type="dxa"/>
          </w:tcPr>
          <w:p w14:paraId="11DA89A6" w14:textId="77777777" w:rsidR="004463E3" w:rsidRDefault="00190C9A">
            <w:pPr>
              <w:pBdr>
                <w:top w:val="nil"/>
                <w:left w:val="nil"/>
                <w:bottom w:val="nil"/>
                <w:right w:val="nil"/>
                <w:between w:val="nil"/>
              </w:pBdr>
              <w:spacing w:before="120" w:after="120"/>
              <w:jc w:val="center"/>
              <w:rPr>
                <w:rFonts w:ascii="Calibri" w:eastAsia="Calibri" w:hAnsi="Calibri" w:cs="Calibri"/>
                <w:b/>
                <w:sz w:val="22"/>
                <w:szCs w:val="22"/>
              </w:rPr>
            </w:pPr>
            <w:r>
              <w:rPr>
                <w:rFonts w:ascii="Calibri" w:eastAsia="Calibri" w:hAnsi="Calibri" w:cs="Calibri"/>
                <w:b/>
                <w:sz w:val="22"/>
                <w:szCs w:val="22"/>
              </w:rPr>
              <w:t>Points: non-key questions</w:t>
            </w:r>
          </w:p>
        </w:tc>
        <w:tc>
          <w:tcPr>
            <w:tcW w:w="2996" w:type="dxa"/>
          </w:tcPr>
          <w:p w14:paraId="07DF6BE4" w14:textId="77777777" w:rsidR="004463E3" w:rsidRDefault="00190C9A">
            <w:pPr>
              <w:pBdr>
                <w:top w:val="nil"/>
                <w:left w:val="nil"/>
                <w:bottom w:val="nil"/>
                <w:right w:val="nil"/>
                <w:between w:val="nil"/>
              </w:pBdr>
              <w:spacing w:before="120" w:after="120"/>
              <w:jc w:val="center"/>
              <w:rPr>
                <w:rFonts w:ascii="Calibri" w:eastAsia="Calibri" w:hAnsi="Calibri" w:cs="Calibri"/>
                <w:b/>
                <w:sz w:val="22"/>
                <w:szCs w:val="22"/>
              </w:rPr>
            </w:pPr>
            <w:r>
              <w:rPr>
                <w:rFonts w:ascii="Calibri" w:eastAsia="Calibri" w:hAnsi="Calibri" w:cs="Calibri"/>
                <w:b/>
                <w:sz w:val="22"/>
                <w:szCs w:val="22"/>
              </w:rPr>
              <w:t>Points: key questions</w:t>
            </w:r>
          </w:p>
        </w:tc>
      </w:tr>
      <w:tr w:rsidR="004463E3" w14:paraId="6A20AB4D" w14:textId="77777777">
        <w:tc>
          <w:tcPr>
            <w:tcW w:w="2998" w:type="dxa"/>
          </w:tcPr>
          <w:p w14:paraId="66186406"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High risk</w:t>
            </w:r>
          </w:p>
        </w:tc>
        <w:tc>
          <w:tcPr>
            <w:tcW w:w="2996" w:type="dxa"/>
          </w:tcPr>
          <w:p w14:paraId="50C21B36"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4 points</w:t>
            </w:r>
          </w:p>
        </w:tc>
        <w:tc>
          <w:tcPr>
            <w:tcW w:w="2996" w:type="dxa"/>
          </w:tcPr>
          <w:p w14:paraId="419AC913"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8 points</w:t>
            </w:r>
          </w:p>
        </w:tc>
      </w:tr>
      <w:tr w:rsidR="004463E3" w14:paraId="496C3291" w14:textId="77777777">
        <w:tc>
          <w:tcPr>
            <w:tcW w:w="2998" w:type="dxa"/>
          </w:tcPr>
          <w:p w14:paraId="02589B2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Significant risk</w:t>
            </w:r>
          </w:p>
        </w:tc>
        <w:tc>
          <w:tcPr>
            <w:tcW w:w="2996" w:type="dxa"/>
          </w:tcPr>
          <w:p w14:paraId="1C456D35"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3 points</w:t>
            </w:r>
          </w:p>
        </w:tc>
        <w:tc>
          <w:tcPr>
            <w:tcW w:w="2996" w:type="dxa"/>
          </w:tcPr>
          <w:p w14:paraId="2E7B40A8"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6 points</w:t>
            </w:r>
          </w:p>
        </w:tc>
      </w:tr>
      <w:tr w:rsidR="004463E3" w14:paraId="5159E6D5" w14:textId="77777777">
        <w:tc>
          <w:tcPr>
            <w:tcW w:w="2998" w:type="dxa"/>
          </w:tcPr>
          <w:p w14:paraId="56DCADB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Moderate risk</w:t>
            </w:r>
          </w:p>
        </w:tc>
        <w:tc>
          <w:tcPr>
            <w:tcW w:w="2996" w:type="dxa"/>
          </w:tcPr>
          <w:p w14:paraId="6B01BC97"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2 points</w:t>
            </w:r>
          </w:p>
        </w:tc>
        <w:tc>
          <w:tcPr>
            <w:tcW w:w="2996" w:type="dxa"/>
          </w:tcPr>
          <w:p w14:paraId="3CACEF02"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4 points</w:t>
            </w:r>
          </w:p>
        </w:tc>
      </w:tr>
      <w:tr w:rsidR="004463E3" w14:paraId="57C01E5E" w14:textId="77777777">
        <w:tc>
          <w:tcPr>
            <w:tcW w:w="2998" w:type="dxa"/>
          </w:tcPr>
          <w:p w14:paraId="00F961A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Low risk</w:t>
            </w:r>
          </w:p>
        </w:tc>
        <w:tc>
          <w:tcPr>
            <w:tcW w:w="2996" w:type="dxa"/>
          </w:tcPr>
          <w:p w14:paraId="7A25240D"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1 point</w:t>
            </w:r>
          </w:p>
        </w:tc>
        <w:tc>
          <w:tcPr>
            <w:tcW w:w="2996" w:type="dxa"/>
          </w:tcPr>
          <w:p w14:paraId="7DE510BD"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1 point</w:t>
            </w:r>
          </w:p>
        </w:tc>
      </w:tr>
    </w:tbl>
    <w:p w14:paraId="0059D1CC" w14:textId="77777777" w:rsidR="004463E3" w:rsidRDefault="004463E3">
      <w:pPr>
        <w:spacing w:after="0"/>
        <w:jc w:val="left"/>
        <w:rPr>
          <w:rFonts w:ascii="Calibri" w:eastAsia="Calibri" w:hAnsi="Calibri" w:cs="Calibri"/>
          <w:b/>
          <w:sz w:val="22"/>
          <w:szCs w:val="22"/>
        </w:rPr>
      </w:pPr>
    </w:p>
    <w:p w14:paraId="10D223D4" w14:textId="77777777" w:rsidR="004463E3" w:rsidRDefault="00190C9A">
      <w:pPr>
        <w:numPr>
          <w:ilvl w:val="0"/>
          <w:numId w:val="4"/>
        </w:numPr>
        <w:pBdr>
          <w:top w:val="nil"/>
          <w:left w:val="nil"/>
          <w:bottom w:val="nil"/>
          <w:right w:val="nil"/>
          <w:between w:val="nil"/>
        </w:pBdr>
        <w:spacing w:after="0"/>
        <w:ind w:left="357" w:hanging="357"/>
        <w:jc w:val="left"/>
        <w:rPr>
          <w:rFonts w:ascii="Calibri" w:eastAsia="Calibri" w:hAnsi="Calibri" w:cs="Calibri"/>
          <w:b/>
          <w:sz w:val="22"/>
          <w:szCs w:val="22"/>
        </w:rPr>
      </w:pPr>
      <w:r>
        <w:rPr>
          <w:rFonts w:ascii="Calibri" w:eastAsia="Calibri" w:hAnsi="Calibri" w:cs="Calibri"/>
          <w:sz w:val="22"/>
          <w:szCs w:val="22"/>
        </w:rPr>
        <w:t xml:space="preserve">Use the ‘Comments’ column next to each question to provide details of the basis for your assessment, and to highlight any important matters. This document will be referenced subsequently by the agency when performing additional assurance activities related to the IP. Sufficient details should be provided in this document for the agency to understand the rationale for your assessment. </w:t>
      </w:r>
    </w:p>
    <w:p w14:paraId="68B52FA4" w14:textId="77777777" w:rsidR="004463E3" w:rsidRDefault="00190C9A">
      <w:pPr>
        <w:spacing w:before="120" w:after="120"/>
        <w:jc w:val="left"/>
        <w:rPr>
          <w:rFonts w:ascii="Calibri" w:eastAsia="Calibri" w:hAnsi="Calibri" w:cs="Calibri"/>
          <w:b/>
          <w:sz w:val="22"/>
          <w:szCs w:val="22"/>
        </w:rPr>
      </w:pPr>
      <w:r>
        <w:rPr>
          <w:rFonts w:ascii="Calibri" w:eastAsia="Calibri" w:hAnsi="Calibri" w:cs="Calibri"/>
          <w:b/>
          <w:sz w:val="22"/>
          <w:szCs w:val="22"/>
        </w:rPr>
        <w:t>Calculation of risk ratings per subject area section</w:t>
      </w:r>
    </w:p>
    <w:p w14:paraId="09F1948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 xml:space="preserve">For each individual subject area, as well as the overall rating, the risk points are totaled together to provide a score that then fits within one of the bandings for the risk ratings. The banding calculation method is that a low risk rating will be assigned to any sections or overall rating where the risk score is less than or equal to the lowest possible score (based on the number of applicable questions), plus 15% of the difference between the minimum and maximum possible scores. Moderate ratings are given on the same basis, but from more than 15% up to 30% of the range, then significant up to 50%, and anything over 50% is high risk. An example is set out in Note 1, below. </w:t>
      </w:r>
    </w:p>
    <w:p w14:paraId="13DCDFCF"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Note 1 – Method of assigning risk ratings to risk scores</w:t>
      </w:r>
    </w:p>
    <w:p w14:paraId="1B82C1F9"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As per paragraph 5, key questions are assigned double the risk points if the answer is other than “low” risk. Therefore, the risk rating assigned to the key questions has twice the weight in determining the risk rating for the section.</w:t>
      </w:r>
    </w:p>
    <w:p w14:paraId="025822A9"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The Excel spreadsheet automatically assigns the risk rating by using the following algorithm:</w:t>
      </w:r>
    </w:p>
    <w:p w14:paraId="0A365F86"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Only the applicable questions are taken into consideration</w:t>
      </w:r>
    </w:p>
    <w:p w14:paraId="62FB5F03"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minimum possible points for the subject area are calculated, that is, if all questions are assigned low risk rating</w:t>
      </w:r>
    </w:p>
    <w:p w14:paraId="6078E3EC"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maximum possible points for the subject area are calculated, that is, if all questions are assigned high risk rating</w:t>
      </w:r>
    </w:p>
    <w:p w14:paraId="18CCD098"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ranges for each risk rating banding are set out below:</w:t>
      </w:r>
    </w:p>
    <w:tbl>
      <w:tblPr>
        <w:tblW w:w="821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9"/>
        <w:gridCol w:w="6663"/>
      </w:tblGrid>
      <w:tr w:rsidR="004463E3" w14:paraId="5B0EB887" w14:textId="77777777">
        <w:tc>
          <w:tcPr>
            <w:tcW w:w="1549" w:type="dxa"/>
          </w:tcPr>
          <w:p w14:paraId="046B145D"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Low risk</w:t>
            </w:r>
          </w:p>
        </w:tc>
        <w:tc>
          <w:tcPr>
            <w:tcW w:w="6663" w:type="dxa"/>
          </w:tcPr>
          <w:p w14:paraId="1AF8EFA8"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15% of the remaining available risk points</w:t>
            </w:r>
          </w:p>
        </w:tc>
      </w:tr>
      <w:tr w:rsidR="004463E3" w14:paraId="02D34ABB" w14:textId="77777777">
        <w:tc>
          <w:tcPr>
            <w:tcW w:w="1549" w:type="dxa"/>
          </w:tcPr>
          <w:p w14:paraId="5EC9EB3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Moderate risk</w:t>
            </w:r>
          </w:p>
        </w:tc>
        <w:tc>
          <w:tcPr>
            <w:tcW w:w="6663" w:type="dxa"/>
          </w:tcPr>
          <w:p w14:paraId="03522E9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30% of the remaining available risk points</w:t>
            </w:r>
          </w:p>
        </w:tc>
      </w:tr>
      <w:tr w:rsidR="004463E3" w14:paraId="1686C4BC" w14:textId="77777777">
        <w:tc>
          <w:tcPr>
            <w:tcW w:w="1549" w:type="dxa"/>
          </w:tcPr>
          <w:p w14:paraId="7EE6878D"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Significant risk</w:t>
            </w:r>
          </w:p>
        </w:tc>
        <w:tc>
          <w:tcPr>
            <w:tcW w:w="6663" w:type="dxa"/>
          </w:tcPr>
          <w:p w14:paraId="6CEB3615"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50% of the remaining available risk points</w:t>
            </w:r>
          </w:p>
        </w:tc>
      </w:tr>
      <w:tr w:rsidR="004463E3" w14:paraId="0A36A316" w14:textId="77777777">
        <w:tc>
          <w:tcPr>
            <w:tcW w:w="1549" w:type="dxa"/>
          </w:tcPr>
          <w:p w14:paraId="4B361293"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High risk</w:t>
            </w:r>
          </w:p>
        </w:tc>
        <w:tc>
          <w:tcPr>
            <w:tcW w:w="6663" w:type="dxa"/>
          </w:tcPr>
          <w:p w14:paraId="747366A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Anything greater than 50% of the remaining available risk points</w:t>
            </w:r>
          </w:p>
        </w:tc>
      </w:tr>
    </w:tbl>
    <w:p w14:paraId="6D1B4B4C"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actual risk points are matched with one of the four risk ranges to determine the overall risk category.</w:t>
      </w:r>
    </w:p>
    <w:p w14:paraId="4B248750"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The same algorithm is applied when calculated the overall risk rating for the IP.</w:t>
      </w:r>
    </w:p>
    <w:p w14:paraId="5367E6B2"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Assume the following two scenarios with the same risk rating for the questions.</w:t>
      </w:r>
    </w:p>
    <w:p w14:paraId="540A2450" w14:textId="77777777" w:rsidR="004463E3" w:rsidRDefault="00190C9A">
      <w:pPr>
        <w:numPr>
          <w:ilvl w:val="0"/>
          <w:numId w:val="7"/>
        </w:num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Scenario 1: There are four non-key questions having equal weight</w:t>
      </w:r>
    </w:p>
    <w:p w14:paraId="241FEF40" w14:textId="77777777" w:rsidR="004463E3" w:rsidRDefault="00190C9A">
      <w:pPr>
        <w:numPr>
          <w:ilvl w:val="0"/>
          <w:numId w:val="7"/>
        </w:num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Scenario 2: The first question is key and the remaining three questions are non-key</w:t>
      </w:r>
    </w:p>
    <w:tbl>
      <w:tblPr>
        <w:tblW w:w="10800" w:type="dxa"/>
        <w:tblInd w:w="-891" w:type="dxa"/>
        <w:tblLayout w:type="fixed"/>
        <w:tblCellMar>
          <w:left w:w="115" w:type="dxa"/>
          <w:right w:w="115" w:type="dxa"/>
        </w:tblCellMar>
        <w:tblLook w:val="0400" w:firstRow="0" w:lastRow="0" w:firstColumn="0" w:lastColumn="0" w:noHBand="0" w:noVBand="1"/>
      </w:tblPr>
      <w:tblGrid>
        <w:gridCol w:w="2269"/>
        <w:gridCol w:w="1811"/>
        <w:gridCol w:w="1155"/>
        <w:gridCol w:w="250"/>
        <w:gridCol w:w="2348"/>
        <w:gridCol w:w="1812"/>
        <w:gridCol w:w="1155"/>
      </w:tblGrid>
      <w:tr w:rsidR="004463E3" w14:paraId="735824C5" w14:textId="77777777">
        <w:trPr>
          <w:trHeight w:val="240"/>
        </w:trPr>
        <w:tc>
          <w:tcPr>
            <w:tcW w:w="2275" w:type="dxa"/>
            <w:tcBorders>
              <w:top w:val="single" w:sz="4" w:space="0" w:color="000000"/>
              <w:left w:val="single" w:sz="4" w:space="0" w:color="000000"/>
              <w:bottom w:val="single" w:sz="4" w:space="0" w:color="000000"/>
              <w:right w:val="single" w:sz="4" w:space="0" w:color="000000"/>
            </w:tcBorders>
            <w:shd w:val="clear" w:color="auto" w:fill="D9D9D9"/>
          </w:tcPr>
          <w:p w14:paraId="782A2A16"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Scenario 1</w:t>
            </w:r>
          </w:p>
        </w:tc>
        <w:tc>
          <w:tcPr>
            <w:tcW w:w="1816" w:type="dxa"/>
            <w:tcBorders>
              <w:top w:val="single" w:sz="4" w:space="0" w:color="000000"/>
              <w:left w:val="nil"/>
              <w:bottom w:val="single" w:sz="4" w:space="0" w:color="000000"/>
              <w:right w:val="single" w:sz="4" w:space="0" w:color="000000"/>
            </w:tcBorders>
            <w:shd w:val="clear" w:color="auto" w:fill="D9D9D9"/>
          </w:tcPr>
          <w:p w14:paraId="049D84E8"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Risk Rating</w:t>
            </w:r>
          </w:p>
        </w:tc>
        <w:tc>
          <w:tcPr>
            <w:tcW w:w="1158" w:type="dxa"/>
            <w:tcBorders>
              <w:top w:val="single" w:sz="4" w:space="0" w:color="000000"/>
              <w:left w:val="nil"/>
              <w:bottom w:val="single" w:sz="4" w:space="0" w:color="000000"/>
              <w:right w:val="single" w:sz="4" w:space="0" w:color="000000"/>
            </w:tcBorders>
            <w:shd w:val="clear" w:color="auto" w:fill="D9D9D9"/>
          </w:tcPr>
          <w:p w14:paraId="2A0075F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Points</w:t>
            </w:r>
          </w:p>
        </w:tc>
        <w:tc>
          <w:tcPr>
            <w:tcW w:w="222" w:type="dxa"/>
            <w:tcBorders>
              <w:top w:val="nil"/>
              <w:left w:val="nil"/>
              <w:bottom w:val="nil"/>
              <w:right w:val="nil"/>
            </w:tcBorders>
            <w:shd w:val="clear" w:color="auto" w:fill="auto"/>
          </w:tcPr>
          <w:p w14:paraId="6EB9B18F" w14:textId="77777777" w:rsidR="004463E3" w:rsidRDefault="004463E3">
            <w:pPr>
              <w:spacing w:after="0"/>
              <w:jc w:val="center"/>
              <w:rPr>
                <w:rFonts w:ascii="Calibri" w:eastAsia="Calibri" w:hAnsi="Calibri" w:cs="Calibri"/>
                <w:b/>
                <w:sz w:val="18"/>
                <w:szCs w:val="18"/>
              </w:rPr>
            </w:pP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4DDA353"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Scenario 2</w:t>
            </w:r>
          </w:p>
        </w:tc>
        <w:tc>
          <w:tcPr>
            <w:tcW w:w="1817" w:type="dxa"/>
            <w:tcBorders>
              <w:top w:val="single" w:sz="4" w:space="0" w:color="000000"/>
              <w:left w:val="nil"/>
              <w:bottom w:val="single" w:sz="4" w:space="0" w:color="000000"/>
              <w:right w:val="single" w:sz="4" w:space="0" w:color="000000"/>
            </w:tcBorders>
            <w:shd w:val="clear" w:color="auto" w:fill="D9D9D9"/>
          </w:tcPr>
          <w:p w14:paraId="25CF820B"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Risk Rating</w:t>
            </w:r>
          </w:p>
        </w:tc>
        <w:tc>
          <w:tcPr>
            <w:tcW w:w="1158" w:type="dxa"/>
            <w:tcBorders>
              <w:top w:val="single" w:sz="4" w:space="0" w:color="000000"/>
              <w:left w:val="nil"/>
              <w:bottom w:val="single" w:sz="4" w:space="0" w:color="000000"/>
              <w:right w:val="single" w:sz="4" w:space="0" w:color="000000"/>
            </w:tcBorders>
            <w:shd w:val="clear" w:color="auto" w:fill="D9D9D9"/>
          </w:tcPr>
          <w:p w14:paraId="24BCA02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Points</w:t>
            </w:r>
          </w:p>
        </w:tc>
      </w:tr>
      <w:tr w:rsidR="004463E3" w14:paraId="19F8AB6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17879367"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1</w:t>
            </w:r>
          </w:p>
        </w:tc>
        <w:tc>
          <w:tcPr>
            <w:tcW w:w="1816" w:type="dxa"/>
            <w:tcBorders>
              <w:top w:val="nil"/>
              <w:left w:val="nil"/>
              <w:bottom w:val="single" w:sz="4" w:space="0" w:color="000000"/>
              <w:right w:val="single" w:sz="4" w:space="0" w:color="000000"/>
            </w:tcBorders>
            <w:shd w:val="clear" w:color="auto" w:fill="auto"/>
          </w:tcPr>
          <w:p w14:paraId="472E976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Significant</w:t>
            </w:r>
          </w:p>
        </w:tc>
        <w:tc>
          <w:tcPr>
            <w:tcW w:w="1158" w:type="dxa"/>
            <w:tcBorders>
              <w:top w:val="nil"/>
              <w:left w:val="nil"/>
              <w:bottom w:val="single" w:sz="4" w:space="0" w:color="000000"/>
              <w:right w:val="single" w:sz="4" w:space="0" w:color="000000"/>
            </w:tcBorders>
            <w:shd w:val="clear" w:color="auto" w:fill="auto"/>
          </w:tcPr>
          <w:p w14:paraId="6172509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3</w:t>
            </w:r>
          </w:p>
        </w:tc>
        <w:tc>
          <w:tcPr>
            <w:tcW w:w="222" w:type="dxa"/>
            <w:tcBorders>
              <w:top w:val="nil"/>
              <w:left w:val="nil"/>
              <w:bottom w:val="nil"/>
              <w:right w:val="nil"/>
            </w:tcBorders>
            <w:shd w:val="clear" w:color="auto" w:fill="auto"/>
          </w:tcPr>
          <w:p w14:paraId="798A56FE"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B383992"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Key question 1</w:t>
            </w:r>
          </w:p>
        </w:tc>
        <w:tc>
          <w:tcPr>
            <w:tcW w:w="1817" w:type="dxa"/>
            <w:tcBorders>
              <w:top w:val="nil"/>
              <w:left w:val="nil"/>
              <w:bottom w:val="single" w:sz="4" w:space="0" w:color="000000"/>
              <w:right w:val="single" w:sz="4" w:space="0" w:color="000000"/>
            </w:tcBorders>
            <w:shd w:val="clear" w:color="auto" w:fill="auto"/>
          </w:tcPr>
          <w:p w14:paraId="4705741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Significant</w:t>
            </w:r>
          </w:p>
        </w:tc>
        <w:tc>
          <w:tcPr>
            <w:tcW w:w="1158" w:type="dxa"/>
            <w:tcBorders>
              <w:top w:val="nil"/>
              <w:left w:val="nil"/>
              <w:bottom w:val="single" w:sz="4" w:space="0" w:color="000000"/>
              <w:right w:val="single" w:sz="4" w:space="0" w:color="000000"/>
            </w:tcBorders>
            <w:shd w:val="clear" w:color="auto" w:fill="auto"/>
          </w:tcPr>
          <w:p w14:paraId="3742D52B"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6</w:t>
            </w:r>
          </w:p>
        </w:tc>
      </w:tr>
      <w:tr w:rsidR="004463E3" w14:paraId="474A7C5F"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73D4BE5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2</w:t>
            </w:r>
          </w:p>
        </w:tc>
        <w:tc>
          <w:tcPr>
            <w:tcW w:w="1816" w:type="dxa"/>
            <w:tcBorders>
              <w:top w:val="nil"/>
              <w:left w:val="nil"/>
              <w:bottom w:val="single" w:sz="4" w:space="0" w:color="000000"/>
              <w:right w:val="single" w:sz="4" w:space="0" w:color="000000"/>
            </w:tcBorders>
            <w:shd w:val="clear" w:color="auto" w:fill="auto"/>
          </w:tcPr>
          <w:p w14:paraId="4397490E"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Moderate</w:t>
            </w:r>
          </w:p>
        </w:tc>
        <w:tc>
          <w:tcPr>
            <w:tcW w:w="1158" w:type="dxa"/>
            <w:tcBorders>
              <w:top w:val="nil"/>
              <w:left w:val="nil"/>
              <w:bottom w:val="single" w:sz="4" w:space="0" w:color="000000"/>
              <w:right w:val="single" w:sz="4" w:space="0" w:color="000000"/>
            </w:tcBorders>
            <w:shd w:val="clear" w:color="auto" w:fill="auto"/>
          </w:tcPr>
          <w:p w14:paraId="1DDA672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2</w:t>
            </w:r>
          </w:p>
        </w:tc>
        <w:tc>
          <w:tcPr>
            <w:tcW w:w="222" w:type="dxa"/>
            <w:tcBorders>
              <w:top w:val="nil"/>
              <w:left w:val="nil"/>
              <w:bottom w:val="nil"/>
              <w:right w:val="nil"/>
            </w:tcBorders>
            <w:shd w:val="clear" w:color="auto" w:fill="auto"/>
          </w:tcPr>
          <w:p w14:paraId="5EB3ADBD"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2E1D0773"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2</w:t>
            </w:r>
          </w:p>
        </w:tc>
        <w:tc>
          <w:tcPr>
            <w:tcW w:w="1817" w:type="dxa"/>
            <w:tcBorders>
              <w:top w:val="nil"/>
              <w:left w:val="nil"/>
              <w:bottom w:val="single" w:sz="4" w:space="0" w:color="000000"/>
              <w:right w:val="single" w:sz="4" w:space="0" w:color="000000"/>
            </w:tcBorders>
            <w:shd w:val="clear" w:color="auto" w:fill="auto"/>
          </w:tcPr>
          <w:p w14:paraId="2AB38DD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Moderate</w:t>
            </w:r>
          </w:p>
        </w:tc>
        <w:tc>
          <w:tcPr>
            <w:tcW w:w="1158" w:type="dxa"/>
            <w:tcBorders>
              <w:top w:val="nil"/>
              <w:left w:val="nil"/>
              <w:bottom w:val="single" w:sz="4" w:space="0" w:color="000000"/>
              <w:right w:val="single" w:sz="4" w:space="0" w:color="000000"/>
            </w:tcBorders>
            <w:shd w:val="clear" w:color="auto" w:fill="auto"/>
          </w:tcPr>
          <w:p w14:paraId="45541F8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2</w:t>
            </w:r>
          </w:p>
        </w:tc>
      </w:tr>
      <w:tr w:rsidR="004463E3" w14:paraId="256B8C40"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0F922BC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3</w:t>
            </w:r>
          </w:p>
        </w:tc>
        <w:tc>
          <w:tcPr>
            <w:tcW w:w="1816" w:type="dxa"/>
            <w:tcBorders>
              <w:top w:val="nil"/>
              <w:left w:val="nil"/>
              <w:bottom w:val="single" w:sz="4" w:space="0" w:color="000000"/>
              <w:right w:val="single" w:sz="4" w:space="0" w:color="000000"/>
            </w:tcBorders>
            <w:shd w:val="clear" w:color="auto" w:fill="auto"/>
          </w:tcPr>
          <w:p w14:paraId="75A6D81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1CBC15C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c>
          <w:tcPr>
            <w:tcW w:w="222" w:type="dxa"/>
            <w:tcBorders>
              <w:top w:val="nil"/>
              <w:left w:val="nil"/>
              <w:bottom w:val="nil"/>
              <w:right w:val="nil"/>
            </w:tcBorders>
            <w:shd w:val="clear" w:color="auto" w:fill="auto"/>
          </w:tcPr>
          <w:p w14:paraId="769BB0FA"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DE1708A"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3</w:t>
            </w:r>
          </w:p>
        </w:tc>
        <w:tc>
          <w:tcPr>
            <w:tcW w:w="1817" w:type="dxa"/>
            <w:tcBorders>
              <w:top w:val="nil"/>
              <w:left w:val="nil"/>
              <w:bottom w:val="single" w:sz="4" w:space="0" w:color="000000"/>
              <w:right w:val="single" w:sz="4" w:space="0" w:color="000000"/>
            </w:tcBorders>
            <w:shd w:val="clear" w:color="auto" w:fill="auto"/>
          </w:tcPr>
          <w:p w14:paraId="5CA7329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154C267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r>
      <w:tr w:rsidR="004463E3" w14:paraId="2E8C2AA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29F04CDE"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4</w:t>
            </w:r>
          </w:p>
        </w:tc>
        <w:tc>
          <w:tcPr>
            <w:tcW w:w="1816" w:type="dxa"/>
            <w:tcBorders>
              <w:top w:val="nil"/>
              <w:left w:val="nil"/>
              <w:bottom w:val="single" w:sz="4" w:space="0" w:color="000000"/>
              <w:right w:val="single" w:sz="4" w:space="0" w:color="000000"/>
            </w:tcBorders>
            <w:shd w:val="clear" w:color="auto" w:fill="auto"/>
          </w:tcPr>
          <w:p w14:paraId="02C19D6B"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58C0D14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c>
          <w:tcPr>
            <w:tcW w:w="222" w:type="dxa"/>
            <w:tcBorders>
              <w:top w:val="nil"/>
              <w:left w:val="nil"/>
              <w:bottom w:val="nil"/>
              <w:right w:val="nil"/>
            </w:tcBorders>
            <w:shd w:val="clear" w:color="auto" w:fill="auto"/>
          </w:tcPr>
          <w:p w14:paraId="7828C471"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F05105F"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4</w:t>
            </w:r>
          </w:p>
        </w:tc>
        <w:tc>
          <w:tcPr>
            <w:tcW w:w="1817" w:type="dxa"/>
            <w:tcBorders>
              <w:top w:val="nil"/>
              <w:left w:val="nil"/>
              <w:bottom w:val="single" w:sz="4" w:space="0" w:color="000000"/>
              <w:right w:val="single" w:sz="4" w:space="0" w:color="000000"/>
            </w:tcBorders>
            <w:shd w:val="clear" w:color="auto" w:fill="auto"/>
          </w:tcPr>
          <w:p w14:paraId="1051E6F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3115DB5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r>
      <w:tr w:rsidR="004463E3" w14:paraId="20ECFBCD"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524D8CFB"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Total Risk Points:</w:t>
            </w:r>
          </w:p>
        </w:tc>
        <w:tc>
          <w:tcPr>
            <w:tcW w:w="1816" w:type="dxa"/>
            <w:tcBorders>
              <w:top w:val="nil"/>
              <w:left w:val="nil"/>
              <w:bottom w:val="single" w:sz="4" w:space="0" w:color="000000"/>
              <w:right w:val="single" w:sz="4" w:space="0" w:color="000000"/>
            </w:tcBorders>
            <w:shd w:val="clear" w:color="auto" w:fill="auto"/>
          </w:tcPr>
          <w:p w14:paraId="04264F2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4CB6659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w:t>
            </w:r>
          </w:p>
        </w:tc>
        <w:tc>
          <w:tcPr>
            <w:tcW w:w="222" w:type="dxa"/>
            <w:tcBorders>
              <w:top w:val="nil"/>
              <w:left w:val="nil"/>
              <w:bottom w:val="nil"/>
              <w:right w:val="nil"/>
            </w:tcBorders>
            <w:shd w:val="clear" w:color="auto" w:fill="auto"/>
          </w:tcPr>
          <w:p w14:paraId="0C63A846"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663B402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Total Risk Points:</w:t>
            </w:r>
          </w:p>
        </w:tc>
        <w:tc>
          <w:tcPr>
            <w:tcW w:w="1817" w:type="dxa"/>
            <w:tcBorders>
              <w:top w:val="nil"/>
              <w:left w:val="nil"/>
              <w:bottom w:val="single" w:sz="4" w:space="0" w:color="000000"/>
              <w:right w:val="single" w:sz="4" w:space="0" w:color="000000"/>
            </w:tcBorders>
            <w:shd w:val="clear" w:color="auto" w:fill="auto"/>
          </w:tcPr>
          <w:p w14:paraId="0A19C169"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191DA26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w:t>
            </w:r>
          </w:p>
        </w:tc>
      </w:tr>
      <w:tr w:rsidR="004463E3" w14:paraId="28F8D4A9"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3E84B6E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Min score</w:t>
            </w:r>
          </w:p>
        </w:tc>
        <w:tc>
          <w:tcPr>
            <w:tcW w:w="1816" w:type="dxa"/>
            <w:tcBorders>
              <w:top w:val="nil"/>
              <w:left w:val="nil"/>
              <w:bottom w:val="single" w:sz="4" w:space="0" w:color="000000"/>
              <w:right w:val="single" w:sz="4" w:space="0" w:color="000000"/>
            </w:tcBorders>
            <w:shd w:val="clear" w:color="auto" w:fill="auto"/>
          </w:tcPr>
          <w:p w14:paraId="04695DB7"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w:t>
            </w:r>
          </w:p>
        </w:tc>
        <w:tc>
          <w:tcPr>
            <w:tcW w:w="1158" w:type="dxa"/>
            <w:tcBorders>
              <w:top w:val="nil"/>
              <w:left w:val="nil"/>
              <w:bottom w:val="single" w:sz="4" w:space="0" w:color="000000"/>
              <w:right w:val="single" w:sz="4" w:space="0" w:color="000000"/>
            </w:tcBorders>
            <w:shd w:val="clear" w:color="auto" w:fill="auto"/>
          </w:tcPr>
          <w:p w14:paraId="593CE5E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4</w:t>
            </w:r>
          </w:p>
        </w:tc>
        <w:tc>
          <w:tcPr>
            <w:tcW w:w="222" w:type="dxa"/>
            <w:tcBorders>
              <w:top w:val="nil"/>
              <w:left w:val="nil"/>
              <w:bottom w:val="nil"/>
              <w:right w:val="nil"/>
            </w:tcBorders>
            <w:shd w:val="clear" w:color="auto" w:fill="auto"/>
          </w:tcPr>
          <w:p w14:paraId="104BF5FB"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D2860B8"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Min score</w:t>
            </w:r>
          </w:p>
        </w:tc>
        <w:tc>
          <w:tcPr>
            <w:tcW w:w="1817" w:type="dxa"/>
            <w:tcBorders>
              <w:top w:val="nil"/>
              <w:left w:val="nil"/>
              <w:bottom w:val="single" w:sz="4" w:space="0" w:color="000000"/>
              <w:right w:val="single" w:sz="4" w:space="0" w:color="000000"/>
            </w:tcBorders>
            <w:shd w:val="clear" w:color="auto" w:fill="auto"/>
          </w:tcPr>
          <w:p w14:paraId="2113581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w:t>
            </w:r>
          </w:p>
        </w:tc>
        <w:tc>
          <w:tcPr>
            <w:tcW w:w="1158" w:type="dxa"/>
            <w:tcBorders>
              <w:top w:val="nil"/>
              <w:left w:val="nil"/>
              <w:bottom w:val="single" w:sz="4" w:space="0" w:color="000000"/>
              <w:right w:val="single" w:sz="4" w:space="0" w:color="000000"/>
            </w:tcBorders>
            <w:shd w:val="clear" w:color="auto" w:fill="auto"/>
          </w:tcPr>
          <w:p w14:paraId="7E269396"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4</w:t>
            </w:r>
          </w:p>
        </w:tc>
      </w:tr>
      <w:tr w:rsidR="004463E3" w14:paraId="6015AB3B"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6D0311E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Max score</w:t>
            </w:r>
          </w:p>
        </w:tc>
        <w:tc>
          <w:tcPr>
            <w:tcW w:w="1816" w:type="dxa"/>
            <w:tcBorders>
              <w:top w:val="nil"/>
              <w:left w:val="nil"/>
              <w:bottom w:val="single" w:sz="4" w:space="0" w:color="000000"/>
              <w:right w:val="single" w:sz="4" w:space="0" w:color="000000"/>
            </w:tcBorders>
            <w:shd w:val="clear" w:color="auto" w:fill="auto"/>
          </w:tcPr>
          <w:p w14:paraId="29D31287"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4</w:t>
            </w:r>
          </w:p>
        </w:tc>
        <w:tc>
          <w:tcPr>
            <w:tcW w:w="1158" w:type="dxa"/>
            <w:tcBorders>
              <w:top w:val="nil"/>
              <w:left w:val="nil"/>
              <w:bottom w:val="single" w:sz="4" w:space="0" w:color="000000"/>
              <w:right w:val="single" w:sz="4" w:space="0" w:color="000000"/>
            </w:tcBorders>
            <w:shd w:val="clear" w:color="auto" w:fill="auto"/>
          </w:tcPr>
          <w:p w14:paraId="217A9AB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16</w:t>
            </w:r>
          </w:p>
        </w:tc>
        <w:tc>
          <w:tcPr>
            <w:tcW w:w="222" w:type="dxa"/>
            <w:tcBorders>
              <w:top w:val="nil"/>
              <w:left w:val="nil"/>
              <w:bottom w:val="nil"/>
              <w:right w:val="nil"/>
            </w:tcBorders>
            <w:shd w:val="clear" w:color="auto" w:fill="auto"/>
          </w:tcPr>
          <w:p w14:paraId="778D1D03"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7B9EFC70"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Max score</w:t>
            </w:r>
          </w:p>
        </w:tc>
        <w:tc>
          <w:tcPr>
            <w:tcW w:w="1817" w:type="dxa"/>
            <w:tcBorders>
              <w:top w:val="nil"/>
              <w:left w:val="nil"/>
              <w:bottom w:val="single" w:sz="4" w:space="0" w:color="000000"/>
              <w:right w:val="single" w:sz="4" w:space="0" w:color="000000"/>
            </w:tcBorders>
            <w:shd w:val="clear" w:color="auto" w:fill="auto"/>
          </w:tcPr>
          <w:p w14:paraId="1D475AB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4</w:t>
            </w:r>
          </w:p>
        </w:tc>
        <w:tc>
          <w:tcPr>
            <w:tcW w:w="1158" w:type="dxa"/>
            <w:tcBorders>
              <w:top w:val="nil"/>
              <w:left w:val="nil"/>
              <w:bottom w:val="single" w:sz="4" w:space="0" w:color="000000"/>
              <w:right w:val="single" w:sz="4" w:space="0" w:color="000000"/>
            </w:tcBorders>
            <w:shd w:val="clear" w:color="auto" w:fill="auto"/>
          </w:tcPr>
          <w:p w14:paraId="5570B67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16</w:t>
            </w:r>
          </w:p>
        </w:tc>
      </w:tr>
      <w:tr w:rsidR="004463E3" w14:paraId="0D5A734F"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3A56DDC3"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Low risk band (15%)</w:t>
            </w:r>
          </w:p>
        </w:tc>
        <w:tc>
          <w:tcPr>
            <w:tcW w:w="1816" w:type="dxa"/>
            <w:tcBorders>
              <w:top w:val="nil"/>
              <w:left w:val="nil"/>
              <w:bottom w:val="single" w:sz="4" w:space="0" w:color="000000"/>
              <w:right w:val="single" w:sz="4" w:space="0" w:color="000000"/>
            </w:tcBorders>
            <w:shd w:val="clear" w:color="auto" w:fill="auto"/>
          </w:tcPr>
          <w:p w14:paraId="318647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0.15)</w:t>
            </w:r>
          </w:p>
        </w:tc>
        <w:tc>
          <w:tcPr>
            <w:tcW w:w="1158" w:type="dxa"/>
            <w:tcBorders>
              <w:top w:val="nil"/>
              <w:left w:val="nil"/>
              <w:bottom w:val="single" w:sz="4" w:space="0" w:color="000000"/>
              <w:right w:val="single" w:sz="4" w:space="0" w:color="000000"/>
            </w:tcBorders>
            <w:shd w:val="clear" w:color="auto" w:fill="auto"/>
          </w:tcPr>
          <w:p w14:paraId="077E362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5.80</w:t>
            </w:r>
          </w:p>
        </w:tc>
        <w:tc>
          <w:tcPr>
            <w:tcW w:w="222" w:type="dxa"/>
            <w:tcBorders>
              <w:top w:val="nil"/>
              <w:left w:val="nil"/>
              <w:bottom w:val="nil"/>
              <w:right w:val="nil"/>
            </w:tcBorders>
            <w:shd w:val="clear" w:color="auto" w:fill="auto"/>
          </w:tcPr>
          <w:p w14:paraId="0FF06178"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13D7F045"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Low risk band (15%)</w:t>
            </w:r>
          </w:p>
        </w:tc>
        <w:tc>
          <w:tcPr>
            <w:tcW w:w="1817" w:type="dxa"/>
            <w:tcBorders>
              <w:top w:val="nil"/>
              <w:left w:val="nil"/>
              <w:bottom w:val="single" w:sz="4" w:space="0" w:color="000000"/>
              <w:right w:val="single" w:sz="4" w:space="0" w:color="000000"/>
            </w:tcBorders>
            <w:shd w:val="clear" w:color="auto" w:fill="auto"/>
          </w:tcPr>
          <w:p w14:paraId="5E2938F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0.15)</w:t>
            </w:r>
          </w:p>
        </w:tc>
        <w:tc>
          <w:tcPr>
            <w:tcW w:w="1158" w:type="dxa"/>
            <w:tcBorders>
              <w:top w:val="nil"/>
              <w:left w:val="nil"/>
              <w:bottom w:val="single" w:sz="4" w:space="0" w:color="000000"/>
              <w:right w:val="single" w:sz="4" w:space="0" w:color="000000"/>
            </w:tcBorders>
            <w:shd w:val="clear" w:color="auto" w:fill="auto"/>
          </w:tcPr>
          <w:p w14:paraId="6E7B5AE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5.80</w:t>
            </w:r>
          </w:p>
        </w:tc>
      </w:tr>
      <w:tr w:rsidR="004463E3" w14:paraId="74B65B9B"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6206640E"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Moderate risk band (30%)</w:t>
            </w:r>
          </w:p>
        </w:tc>
        <w:tc>
          <w:tcPr>
            <w:tcW w:w="1816" w:type="dxa"/>
            <w:tcBorders>
              <w:top w:val="nil"/>
              <w:left w:val="nil"/>
              <w:bottom w:val="single" w:sz="4" w:space="0" w:color="000000"/>
              <w:right w:val="single" w:sz="4" w:space="0" w:color="000000"/>
            </w:tcBorders>
            <w:shd w:val="clear" w:color="auto" w:fill="auto"/>
          </w:tcPr>
          <w:p w14:paraId="2A395C6E"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0.30)</w:t>
            </w:r>
          </w:p>
        </w:tc>
        <w:tc>
          <w:tcPr>
            <w:tcW w:w="1158" w:type="dxa"/>
            <w:tcBorders>
              <w:top w:val="nil"/>
              <w:left w:val="nil"/>
              <w:bottom w:val="single" w:sz="4" w:space="0" w:color="000000"/>
              <w:right w:val="single" w:sz="4" w:space="0" w:color="000000"/>
            </w:tcBorders>
            <w:shd w:val="clear" w:color="auto" w:fill="auto"/>
          </w:tcPr>
          <w:p w14:paraId="759BBEA6"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7.60</w:t>
            </w:r>
          </w:p>
        </w:tc>
        <w:tc>
          <w:tcPr>
            <w:tcW w:w="222" w:type="dxa"/>
            <w:tcBorders>
              <w:top w:val="nil"/>
              <w:left w:val="nil"/>
              <w:bottom w:val="nil"/>
              <w:right w:val="nil"/>
            </w:tcBorders>
            <w:shd w:val="clear" w:color="auto" w:fill="auto"/>
          </w:tcPr>
          <w:p w14:paraId="72EDEC93"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2C99B06D"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Moderate risk band (30%)</w:t>
            </w:r>
          </w:p>
        </w:tc>
        <w:tc>
          <w:tcPr>
            <w:tcW w:w="1817" w:type="dxa"/>
            <w:tcBorders>
              <w:top w:val="nil"/>
              <w:left w:val="nil"/>
              <w:bottom w:val="single" w:sz="4" w:space="0" w:color="000000"/>
              <w:right w:val="single" w:sz="4" w:space="0" w:color="000000"/>
            </w:tcBorders>
            <w:shd w:val="clear" w:color="auto" w:fill="auto"/>
          </w:tcPr>
          <w:p w14:paraId="1F12042A"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0.30)</w:t>
            </w:r>
          </w:p>
        </w:tc>
        <w:tc>
          <w:tcPr>
            <w:tcW w:w="1158" w:type="dxa"/>
            <w:tcBorders>
              <w:top w:val="nil"/>
              <w:left w:val="nil"/>
              <w:bottom w:val="single" w:sz="4" w:space="0" w:color="000000"/>
              <w:right w:val="single" w:sz="4" w:space="0" w:color="000000"/>
            </w:tcBorders>
            <w:shd w:val="clear" w:color="auto" w:fill="auto"/>
          </w:tcPr>
          <w:p w14:paraId="11368C7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7.60</w:t>
            </w:r>
          </w:p>
        </w:tc>
      </w:tr>
      <w:tr w:rsidR="004463E3" w14:paraId="446077F5"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12E54EF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Significant risk band (50%)</w:t>
            </w:r>
          </w:p>
        </w:tc>
        <w:tc>
          <w:tcPr>
            <w:tcW w:w="1816" w:type="dxa"/>
            <w:tcBorders>
              <w:top w:val="nil"/>
              <w:left w:val="nil"/>
              <w:bottom w:val="single" w:sz="4" w:space="0" w:color="000000"/>
              <w:right w:val="single" w:sz="4" w:space="0" w:color="000000"/>
            </w:tcBorders>
            <w:shd w:val="clear" w:color="auto" w:fill="auto"/>
          </w:tcPr>
          <w:p w14:paraId="0213CE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0.50)</w:t>
            </w:r>
          </w:p>
        </w:tc>
        <w:tc>
          <w:tcPr>
            <w:tcW w:w="1158" w:type="dxa"/>
            <w:tcBorders>
              <w:top w:val="nil"/>
              <w:left w:val="nil"/>
              <w:bottom w:val="single" w:sz="4" w:space="0" w:color="000000"/>
              <w:right w:val="single" w:sz="4" w:space="0" w:color="000000"/>
            </w:tcBorders>
            <w:shd w:val="clear" w:color="auto" w:fill="auto"/>
          </w:tcPr>
          <w:p w14:paraId="4CF22DBF"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10.00</w:t>
            </w:r>
          </w:p>
        </w:tc>
        <w:tc>
          <w:tcPr>
            <w:tcW w:w="222" w:type="dxa"/>
            <w:tcBorders>
              <w:top w:val="nil"/>
              <w:left w:val="nil"/>
              <w:bottom w:val="nil"/>
              <w:right w:val="nil"/>
            </w:tcBorders>
            <w:shd w:val="clear" w:color="auto" w:fill="auto"/>
          </w:tcPr>
          <w:p w14:paraId="01D1E1F8"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6BD6889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Significant risk band (50%)</w:t>
            </w:r>
          </w:p>
        </w:tc>
        <w:tc>
          <w:tcPr>
            <w:tcW w:w="1817" w:type="dxa"/>
            <w:tcBorders>
              <w:top w:val="nil"/>
              <w:left w:val="nil"/>
              <w:bottom w:val="single" w:sz="4" w:space="0" w:color="000000"/>
              <w:right w:val="single" w:sz="4" w:space="0" w:color="000000"/>
            </w:tcBorders>
            <w:shd w:val="clear" w:color="auto" w:fill="auto"/>
          </w:tcPr>
          <w:p w14:paraId="2042C3C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0.50)</w:t>
            </w:r>
          </w:p>
        </w:tc>
        <w:tc>
          <w:tcPr>
            <w:tcW w:w="1158" w:type="dxa"/>
            <w:tcBorders>
              <w:top w:val="nil"/>
              <w:left w:val="nil"/>
              <w:bottom w:val="single" w:sz="4" w:space="0" w:color="000000"/>
              <w:right w:val="single" w:sz="4" w:space="0" w:color="000000"/>
            </w:tcBorders>
            <w:shd w:val="clear" w:color="auto" w:fill="auto"/>
          </w:tcPr>
          <w:p w14:paraId="3C5C84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10.00</w:t>
            </w:r>
          </w:p>
        </w:tc>
      </w:tr>
      <w:tr w:rsidR="004463E3" w14:paraId="5392667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43E6BBA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High risk band (&gt;50%)</w:t>
            </w:r>
          </w:p>
        </w:tc>
        <w:tc>
          <w:tcPr>
            <w:tcW w:w="1816" w:type="dxa"/>
            <w:tcBorders>
              <w:top w:val="nil"/>
              <w:left w:val="nil"/>
              <w:bottom w:val="single" w:sz="4" w:space="0" w:color="000000"/>
              <w:right w:val="single" w:sz="4" w:space="0" w:color="000000"/>
            </w:tcBorders>
            <w:shd w:val="clear" w:color="auto" w:fill="auto"/>
          </w:tcPr>
          <w:p w14:paraId="05BA0B1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4D47B91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&gt; 10.00</w:t>
            </w:r>
          </w:p>
        </w:tc>
        <w:tc>
          <w:tcPr>
            <w:tcW w:w="222" w:type="dxa"/>
            <w:tcBorders>
              <w:top w:val="nil"/>
              <w:left w:val="nil"/>
              <w:bottom w:val="nil"/>
              <w:right w:val="nil"/>
            </w:tcBorders>
            <w:shd w:val="clear" w:color="auto" w:fill="auto"/>
          </w:tcPr>
          <w:p w14:paraId="53944B05"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7B0EEA5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High risk band (&gt;50%)</w:t>
            </w:r>
          </w:p>
        </w:tc>
        <w:tc>
          <w:tcPr>
            <w:tcW w:w="1817" w:type="dxa"/>
            <w:tcBorders>
              <w:top w:val="nil"/>
              <w:left w:val="nil"/>
              <w:bottom w:val="single" w:sz="4" w:space="0" w:color="000000"/>
              <w:right w:val="single" w:sz="4" w:space="0" w:color="000000"/>
            </w:tcBorders>
            <w:shd w:val="clear" w:color="auto" w:fill="auto"/>
          </w:tcPr>
          <w:p w14:paraId="0640D83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00B24F2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&gt; 10.00</w:t>
            </w:r>
          </w:p>
        </w:tc>
      </w:tr>
      <w:tr w:rsidR="004463E3" w14:paraId="59E756DF" w14:textId="77777777">
        <w:trPr>
          <w:trHeight w:val="240"/>
        </w:trPr>
        <w:tc>
          <w:tcPr>
            <w:tcW w:w="2275" w:type="dxa"/>
            <w:tcBorders>
              <w:top w:val="nil"/>
              <w:left w:val="single" w:sz="4" w:space="0" w:color="000000"/>
              <w:bottom w:val="single" w:sz="4" w:space="0" w:color="000000"/>
              <w:right w:val="single" w:sz="4" w:space="0" w:color="000000"/>
            </w:tcBorders>
            <w:shd w:val="clear" w:color="auto" w:fill="D9D9D9"/>
          </w:tcPr>
          <w:p w14:paraId="327226B8"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Overall risk</w:t>
            </w:r>
          </w:p>
        </w:tc>
        <w:tc>
          <w:tcPr>
            <w:tcW w:w="1816" w:type="dxa"/>
            <w:tcBorders>
              <w:top w:val="nil"/>
              <w:left w:val="nil"/>
              <w:bottom w:val="single" w:sz="4" w:space="0" w:color="000000"/>
              <w:right w:val="single" w:sz="4" w:space="0" w:color="000000"/>
            </w:tcBorders>
            <w:shd w:val="clear" w:color="auto" w:fill="D9D9D9"/>
          </w:tcPr>
          <w:p w14:paraId="6044425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Moderate</w:t>
            </w:r>
          </w:p>
        </w:tc>
        <w:tc>
          <w:tcPr>
            <w:tcW w:w="1158" w:type="dxa"/>
            <w:tcBorders>
              <w:top w:val="nil"/>
              <w:left w:val="nil"/>
              <w:bottom w:val="single" w:sz="4" w:space="0" w:color="000000"/>
              <w:right w:val="single" w:sz="4" w:space="0" w:color="000000"/>
            </w:tcBorders>
            <w:shd w:val="clear" w:color="auto" w:fill="D9D9D9"/>
          </w:tcPr>
          <w:p w14:paraId="35B1500E"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7.00</w:t>
            </w:r>
          </w:p>
        </w:tc>
        <w:tc>
          <w:tcPr>
            <w:tcW w:w="222" w:type="dxa"/>
            <w:tcBorders>
              <w:top w:val="nil"/>
              <w:left w:val="nil"/>
              <w:bottom w:val="nil"/>
              <w:right w:val="nil"/>
            </w:tcBorders>
            <w:shd w:val="clear" w:color="auto" w:fill="auto"/>
          </w:tcPr>
          <w:p w14:paraId="6E59041F" w14:textId="77777777" w:rsidR="004463E3" w:rsidRDefault="004463E3">
            <w:pPr>
              <w:spacing w:after="0"/>
              <w:jc w:val="center"/>
              <w:rPr>
                <w:rFonts w:ascii="Calibri" w:eastAsia="Calibri" w:hAnsi="Calibri" w:cs="Calibri"/>
                <w:b/>
                <w:sz w:val="18"/>
                <w:szCs w:val="18"/>
              </w:rPr>
            </w:pPr>
          </w:p>
        </w:tc>
        <w:tc>
          <w:tcPr>
            <w:tcW w:w="2354" w:type="dxa"/>
            <w:tcBorders>
              <w:top w:val="nil"/>
              <w:left w:val="single" w:sz="4" w:space="0" w:color="000000"/>
              <w:bottom w:val="single" w:sz="4" w:space="0" w:color="000000"/>
              <w:right w:val="single" w:sz="4" w:space="0" w:color="000000"/>
            </w:tcBorders>
            <w:shd w:val="clear" w:color="auto" w:fill="D9D9D9"/>
          </w:tcPr>
          <w:p w14:paraId="68000DB3"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Overall risk</w:t>
            </w:r>
          </w:p>
        </w:tc>
        <w:tc>
          <w:tcPr>
            <w:tcW w:w="1817" w:type="dxa"/>
            <w:tcBorders>
              <w:top w:val="nil"/>
              <w:left w:val="nil"/>
              <w:bottom w:val="single" w:sz="4" w:space="0" w:color="000000"/>
              <w:right w:val="single" w:sz="4" w:space="0" w:color="000000"/>
            </w:tcBorders>
            <w:shd w:val="clear" w:color="auto" w:fill="D9D9D9"/>
          </w:tcPr>
          <w:p w14:paraId="651A705B"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Significant</w:t>
            </w:r>
          </w:p>
        </w:tc>
        <w:tc>
          <w:tcPr>
            <w:tcW w:w="1158" w:type="dxa"/>
            <w:tcBorders>
              <w:top w:val="nil"/>
              <w:left w:val="nil"/>
              <w:bottom w:val="single" w:sz="4" w:space="0" w:color="000000"/>
              <w:right w:val="single" w:sz="4" w:space="0" w:color="000000"/>
            </w:tcBorders>
            <w:shd w:val="clear" w:color="auto" w:fill="D9D9D9"/>
          </w:tcPr>
          <w:p w14:paraId="42553537"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10.00</w:t>
            </w:r>
          </w:p>
        </w:tc>
      </w:tr>
    </w:tbl>
    <w:p w14:paraId="1AFC8553" w14:textId="77777777" w:rsidR="004463E3" w:rsidRDefault="004463E3">
      <w:pPr>
        <w:spacing w:after="0"/>
        <w:jc w:val="left"/>
        <w:rPr>
          <w:rFonts w:ascii="Calibri" w:eastAsia="Calibri" w:hAnsi="Calibri" w:cs="Calibri"/>
          <w:sz w:val="22"/>
          <w:szCs w:val="22"/>
        </w:rPr>
      </w:pPr>
    </w:p>
    <w:p w14:paraId="64939299" w14:textId="77777777" w:rsidR="004463E3" w:rsidRDefault="00190C9A">
      <w:pPr>
        <w:spacing w:after="0"/>
        <w:jc w:val="left"/>
        <w:rPr>
          <w:rFonts w:ascii="Calibri" w:eastAsia="Calibri" w:hAnsi="Calibri" w:cs="Calibri"/>
          <w:b/>
          <w:sz w:val="22"/>
          <w:szCs w:val="22"/>
        </w:rPr>
      </w:pPr>
      <w:r>
        <w:br w:type="page"/>
      </w:r>
    </w:p>
    <w:p w14:paraId="0C6BE26F" w14:textId="77777777" w:rsidR="004463E3" w:rsidRDefault="00190C9A">
      <w:pPr>
        <w:jc w:val="center"/>
        <w:rPr>
          <w:rFonts w:ascii="Calibri" w:eastAsia="Calibri" w:hAnsi="Calibri" w:cs="Calibri"/>
          <w:b/>
          <w:sz w:val="22"/>
          <w:szCs w:val="22"/>
        </w:rPr>
      </w:pPr>
      <w:r>
        <w:rPr>
          <w:rFonts w:ascii="Calibri" w:eastAsia="Calibri" w:hAnsi="Calibri" w:cs="Calibri"/>
          <w:b/>
          <w:sz w:val="22"/>
          <w:szCs w:val="22"/>
        </w:rPr>
        <w:t>Annex 3: Micro Assessment Report Format</w:t>
      </w:r>
    </w:p>
    <w:p w14:paraId="21DA708D" w14:textId="77777777" w:rsidR="004463E3" w:rsidRDefault="004463E3">
      <w:pPr>
        <w:jc w:val="left"/>
        <w:rPr>
          <w:rFonts w:ascii="Calibri" w:eastAsia="Calibri" w:hAnsi="Calibri" w:cs="Calibri"/>
          <w:sz w:val="22"/>
          <w:szCs w:val="22"/>
        </w:rPr>
      </w:pPr>
    </w:p>
    <w:p w14:paraId="541C9BDA" w14:textId="77777777" w:rsidR="004463E3" w:rsidRDefault="00190C9A">
      <w:pPr>
        <w:rPr>
          <w:rFonts w:ascii="Calibri" w:eastAsia="Calibri" w:hAnsi="Calibri" w:cs="Calibri"/>
          <w:b/>
          <w:sz w:val="22"/>
          <w:szCs w:val="22"/>
        </w:rPr>
      </w:pPr>
      <w:r>
        <w:rPr>
          <w:rFonts w:ascii="Calibri" w:eastAsia="Calibri" w:hAnsi="Calibri" w:cs="Calibri"/>
          <w:b/>
          <w:sz w:val="22"/>
          <w:szCs w:val="22"/>
        </w:rPr>
        <w:t>Front Page</w:t>
      </w:r>
    </w:p>
    <w:p w14:paraId="6893D0BC" w14:textId="77777777" w:rsidR="004463E3" w:rsidRDefault="004463E3">
      <w:pPr>
        <w:jc w:val="center"/>
        <w:rPr>
          <w:rFonts w:ascii="Calibri" w:eastAsia="Calibri" w:hAnsi="Calibri" w:cs="Calibri"/>
          <w:b/>
          <w:sz w:val="22"/>
          <w:szCs w:val="22"/>
        </w:rPr>
      </w:pPr>
    </w:p>
    <w:p w14:paraId="09BBB4A3"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Micro Assessment of [Name of the IP]</w:t>
      </w:r>
    </w:p>
    <w:p w14:paraId="010D79C1"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Commissioned by [Name of the UN Agency/ies]</w:t>
      </w:r>
    </w:p>
    <w:p w14:paraId="7D049EDA"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Name of the 3</w:t>
      </w:r>
      <w:r>
        <w:rPr>
          <w:rFonts w:ascii="Calibri" w:eastAsia="Calibri" w:hAnsi="Calibri" w:cs="Calibri"/>
          <w:sz w:val="22"/>
          <w:szCs w:val="22"/>
          <w:vertAlign w:val="superscript"/>
        </w:rPr>
        <w:t>rd</w:t>
      </w:r>
      <w:r>
        <w:rPr>
          <w:rFonts w:ascii="Calibri" w:eastAsia="Calibri" w:hAnsi="Calibri" w:cs="Calibri"/>
          <w:sz w:val="22"/>
          <w:szCs w:val="22"/>
        </w:rPr>
        <w:t xml:space="preserve"> Party Service Provider</w:t>
      </w:r>
    </w:p>
    <w:p w14:paraId="354F04D0" w14:textId="77777777" w:rsidR="004463E3" w:rsidRDefault="00190C9A">
      <w:pPr>
        <w:pBdr>
          <w:top w:val="single" w:sz="4" w:space="1" w:color="000000"/>
          <w:left w:val="single" w:sz="4" w:space="4" w:color="000000"/>
          <w:bottom w:val="single" w:sz="4" w:space="1" w:color="000000"/>
          <w:right w:val="single" w:sz="4" w:space="0" w:color="000000"/>
          <w:between w:val="nil"/>
        </w:pBdr>
        <w:spacing w:after="160" w:line="256" w:lineRule="auto"/>
        <w:ind w:left="720"/>
        <w:jc w:val="center"/>
        <w:rPr>
          <w:rFonts w:ascii="Calibri" w:eastAsia="Calibri" w:hAnsi="Calibri" w:cs="Calibri"/>
          <w:sz w:val="22"/>
          <w:szCs w:val="22"/>
        </w:rPr>
      </w:pPr>
      <w:r>
        <w:rPr>
          <w:rFonts w:ascii="Calibri" w:eastAsia="Calibri" w:hAnsi="Calibri" w:cs="Calibri"/>
          <w:sz w:val="22"/>
          <w:szCs w:val="22"/>
        </w:rPr>
        <w:t>Date</w:t>
      </w:r>
    </w:p>
    <w:p w14:paraId="33786911" w14:textId="77777777" w:rsidR="004463E3" w:rsidRDefault="004463E3">
      <w:pPr>
        <w:rPr>
          <w:rFonts w:ascii="Calibri" w:eastAsia="Calibri" w:hAnsi="Calibri" w:cs="Calibri"/>
          <w:b/>
          <w:sz w:val="22"/>
          <w:szCs w:val="22"/>
        </w:rPr>
      </w:pPr>
    </w:p>
    <w:p w14:paraId="2D639249" w14:textId="77777777" w:rsidR="004463E3" w:rsidRDefault="00190C9A">
      <w:pPr>
        <w:rPr>
          <w:rFonts w:ascii="Calibri" w:eastAsia="Calibri" w:hAnsi="Calibri" w:cs="Calibri"/>
          <w:b/>
          <w:sz w:val="22"/>
          <w:szCs w:val="22"/>
        </w:rPr>
      </w:pPr>
      <w:r>
        <w:rPr>
          <w:rFonts w:ascii="Calibri" w:eastAsia="Calibri" w:hAnsi="Calibri" w:cs="Calibri"/>
          <w:b/>
          <w:sz w:val="22"/>
          <w:szCs w:val="22"/>
        </w:rPr>
        <w:t>Table of Contents</w:t>
      </w:r>
    </w:p>
    <w:p w14:paraId="5FEFBD94" w14:textId="77777777" w:rsidR="004463E3" w:rsidRDefault="004463E3">
      <w:pPr>
        <w:rPr>
          <w:rFonts w:ascii="Calibri" w:eastAsia="Calibri" w:hAnsi="Calibri" w:cs="Calibri"/>
          <w:b/>
          <w:sz w:val="22"/>
          <w:szCs w:val="22"/>
        </w:rPr>
      </w:pPr>
    </w:p>
    <w:p w14:paraId="0B48C66A"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Background, Scope and Methodology</w:t>
      </w:r>
    </w:p>
    <w:p w14:paraId="40C7B7FC" w14:textId="2D38CE3D" w:rsidR="00C53276" w:rsidRDefault="00866C77">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Partner summary information</w:t>
      </w:r>
    </w:p>
    <w:p w14:paraId="01F0765A"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Summary of Risk Assessment Results </w:t>
      </w:r>
    </w:p>
    <w:p w14:paraId="00F903C3"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 xml:space="preserve">Detailed Internal Control Findings and Recommendations </w:t>
      </w:r>
    </w:p>
    <w:p w14:paraId="07E26E3E" w14:textId="0D8EA3DF" w:rsidR="009338D6" w:rsidRPr="0032626F" w:rsidRDefault="009338D6" w:rsidP="009338D6">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sidRPr="0032626F">
        <w:rPr>
          <w:rFonts w:ascii="Calibri" w:eastAsia="Calibri" w:hAnsi="Calibri" w:cs="Calibri"/>
          <w:sz w:val="22"/>
          <w:szCs w:val="22"/>
          <w:lang w:val="fr-FR"/>
        </w:rPr>
        <w:t>Annex I. Micro assessment questionnaire</w:t>
      </w:r>
    </w:p>
    <w:p w14:paraId="7B2DF0B8" w14:textId="34316958" w:rsidR="00DF0997" w:rsidRDefault="00DF099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Pr>
          <w:rFonts w:ascii="Calibri" w:eastAsia="Calibri" w:hAnsi="Calibri" w:cs="Calibri"/>
          <w:sz w:val="22"/>
          <w:szCs w:val="22"/>
        </w:rPr>
        <w:t>Annex II. Implementing Partner and Programme Information</w:t>
      </w:r>
      <w:r w:rsidRPr="00DF0997">
        <w:rPr>
          <w:rFonts w:ascii="Calibri" w:eastAsia="Calibri" w:hAnsi="Calibri" w:cs="Calibri"/>
          <w:sz w:val="22"/>
          <w:szCs w:val="22"/>
          <w:lang w:val="fr-FR"/>
        </w:rPr>
        <w:t xml:space="preserve"> </w:t>
      </w:r>
    </w:p>
    <w:p w14:paraId="076FC19F" w14:textId="66A32BCF" w:rsidR="004463E3" w:rsidRDefault="00190C9A">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sidRPr="00DF0997">
        <w:rPr>
          <w:rFonts w:ascii="Calibri" w:eastAsia="Calibri" w:hAnsi="Calibri" w:cs="Calibri"/>
          <w:sz w:val="22"/>
          <w:szCs w:val="22"/>
          <w:lang w:val="fr-FR"/>
        </w:rPr>
        <w:t>Annex II</w:t>
      </w:r>
      <w:r w:rsidR="00DF0997">
        <w:rPr>
          <w:rFonts w:ascii="Calibri" w:eastAsia="Calibri" w:hAnsi="Calibri" w:cs="Calibri"/>
          <w:sz w:val="22"/>
          <w:szCs w:val="22"/>
          <w:lang w:val="fr-FR"/>
        </w:rPr>
        <w:t>I</w:t>
      </w:r>
      <w:r w:rsidRPr="00DF0997">
        <w:rPr>
          <w:rFonts w:ascii="Calibri" w:eastAsia="Calibri" w:hAnsi="Calibri" w:cs="Calibri"/>
          <w:sz w:val="22"/>
          <w:szCs w:val="22"/>
          <w:lang w:val="fr-FR"/>
        </w:rPr>
        <w:t xml:space="preserve">. </w:t>
      </w:r>
      <w:r>
        <w:rPr>
          <w:rFonts w:ascii="Calibri" w:eastAsia="Calibri" w:hAnsi="Calibri" w:cs="Calibri"/>
          <w:sz w:val="22"/>
          <w:szCs w:val="22"/>
        </w:rPr>
        <w:t xml:space="preserve">Organisational Chart of the Implementing Partner </w:t>
      </w:r>
    </w:p>
    <w:p w14:paraId="6563951A" w14:textId="189F5589" w:rsidR="004463E3" w:rsidRDefault="00190C9A">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Pr>
          <w:rFonts w:ascii="Calibri" w:eastAsia="Calibri" w:hAnsi="Calibri" w:cs="Calibri"/>
          <w:sz w:val="22"/>
          <w:szCs w:val="22"/>
        </w:rPr>
        <w:t>Annex I</w:t>
      </w:r>
      <w:r w:rsidR="00DF0997">
        <w:rPr>
          <w:rFonts w:ascii="Calibri" w:eastAsia="Calibri" w:hAnsi="Calibri" w:cs="Calibri"/>
          <w:sz w:val="22"/>
          <w:szCs w:val="22"/>
        </w:rPr>
        <w:t>V</w:t>
      </w:r>
      <w:r>
        <w:rPr>
          <w:rFonts w:ascii="Calibri" w:eastAsia="Calibri" w:hAnsi="Calibri" w:cs="Calibri"/>
          <w:sz w:val="22"/>
          <w:szCs w:val="22"/>
        </w:rPr>
        <w:t xml:space="preserve">. List of persons met </w:t>
      </w:r>
    </w:p>
    <w:p w14:paraId="497ECFD5" w14:textId="77777777" w:rsidR="004463E3" w:rsidRPr="0032626F" w:rsidRDefault="004463E3">
      <w:pPr>
        <w:rPr>
          <w:rFonts w:ascii="Calibri" w:eastAsia="Calibri" w:hAnsi="Calibri" w:cs="Calibri"/>
          <w:sz w:val="22"/>
          <w:szCs w:val="22"/>
          <w:lang w:val="fr-FR"/>
        </w:rPr>
      </w:pPr>
    </w:p>
    <w:p w14:paraId="06FF4F52" w14:textId="77777777" w:rsidR="002B27A7" w:rsidRDefault="002B27A7">
      <w:pPr>
        <w:rPr>
          <w:rFonts w:ascii="Calibri" w:eastAsia="Calibri" w:hAnsi="Calibri" w:cs="Calibri"/>
          <w:b/>
          <w:sz w:val="22"/>
          <w:szCs w:val="22"/>
        </w:rPr>
      </w:pPr>
      <w:r>
        <w:rPr>
          <w:rFonts w:ascii="Calibri" w:eastAsia="Calibri" w:hAnsi="Calibri" w:cs="Calibri"/>
          <w:b/>
          <w:sz w:val="22"/>
          <w:szCs w:val="22"/>
        </w:rPr>
        <w:br w:type="page"/>
      </w:r>
    </w:p>
    <w:p w14:paraId="64FD0260" w14:textId="24B9CD22" w:rsidR="004463E3" w:rsidRDefault="00190C9A">
      <w:pPr>
        <w:numPr>
          <w:ilvl w:val="0"/>
          <w:numId w:val="3"/>
        </w:num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 Scope and Methodology</w:t>
      </w:r>
    </w:p>
    <w:p w14:paraId="59510300"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w:t>
      </w:r>
    </w:p>
    <w:p w14:paraId="13ED06F2"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 xml:space="preserve">The micro assessment is part of the requirements under the Harmonized Approach to Cash Transfers (HACT) Framework. The HACT framework represents a common operational framework for UN agencies’ transfer of cash to government and non-governmental implementing partners. </w:t>
      </w:r>
    </w:p>
    <w:p w14:paraId="073033A1"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sz w:val="22"/>
          <w:szCs w:val="22"/>
        </w:rPr>
        <w:t>The micro-assessment assesses the IP’s control framework. It results in a risk rating (low, moderate, significant or high). The overall risk rating is used by the UN agencies, along with other available information (e.g. history of engagement with the agency and previous assurance results), to determine the type and frequency of assurance activities as per each agency’s guidelines and can be taken into consideration when selecting the appropriate cash transfer modality for an IP.</w:t>
      </w:r>
    </w:p>
    <w:p w14:paraId="5F39666D" w14:textId="77777777" w:rsidR="004463E3" w:rsidRDefault="00190C9A">
      <w:pPr>
        <w:rPr>
          <w:rFonts w:ascii="Calibri" w:eastAsia="Calibri" w:hAnsi="Calibri" w:cs="Calibri"/>
          <w:b/>
          <w:sz w:val="22"/>
          <w:szCs w:val="22"/>
        </w:rPr>
      </w:pPr>
      <w:r>
        <w:rPr>
          <w:rFonts w:ascii="Calibri" w:eastAsia="Calibri" w:hAnsi="Calibri" w:cs="Calibri"/>
          <w:b/>
          <w:sz w:val="22"/>
          <w:szCs w:val="22"/>
        </w:rPr>
        <w:t>Scope</w:t>
      </w:r>
    </w:p>
    <w:p w14:paraId="0B639D15"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The micro-assessment provides an overall assessment of the Implementing Partner’s programme, financial and operations management policies, procedures, systems and internal controls. It includes: </w:t>
      </w:r>
    </w:p>
    <w:p w14:paraId="078DE974" w14:textId="77777777" w:rsidR="004463E3" w:rsidRDefault="00190C9A">
      <w:pPr>
        <w:numPr>
          <w:ilvl w:val="0"/>
          <w:numId w:val="2"/>
        </w:numPr>
        <w:pBdr>
          <w:top w:val="nil"/>
          <w:left w:val="nil"/>
          <w:bottom w:val="nil"/>
          <w:right w:val="nil"/>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A review of the IP legal status, governance structures and financial viability; programme management, organizational structure and staffing, accounting policies and procedures, fixed assets and inventory, financial reporting and monitoring, and procurement; </w:t>
      </w:r>
    </w:p>
    <w:p w14:paraId="6A41AACE" w14:textId="77777777" w:rsidR="004463E3" w:rsidRDefault="00190C9A">
      <w:pPr>
        <w:numPr>
          <w:ilvl w:val="0"/>
          <w:numId w:val="2"/>
        </w:numPr>
        <w:pBdr>
          <w:top w:val="nil"/>
          <w:left w:val="nil"/>
          <w:bottom w:val="nil"/>
          <w:right w:val="nil"/>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A focus on compliance with policies, procedures, regulations and institutional arrangements that are issued both by the Government and the Implementing Partner.</w:t>
      </w:r>
    </w:p>
    <w:p w14:paraId="4395360D" w14:textId="77777777" w:rsidR="004463E3" w:rsidRDefault="00190C9A">
      <w:pPr>
        <w:rPr>
          <w:rFonts w:ascii="Calibri" w:eastAsia="Calibri" w:hAnsi="Calibri" w:cs="Calibri"/>
          <w:b/>
          <w:sz w:val="22"/>
          <w:szCs w:val="22"/>
        </w:rPr>
      </w:pPr>
      <w:r>
        <w:rPr>
          <w:rFonts w:ascii="Calibri" w:eastAsia="Calibri" w:hAnsi="Calibri" w:cs="Calibri"/>
          <w:b/>
          <w:sz w:val="22"/>
          <w:szCs w:val="22"/>
        </w:rPr>
        <w:t>Methodology</w:t>
      </w:r>
    </w:p>
    <w:p w14:paraId="26E96FCD" w14:textId="77777777" w:rsidR="004463E3" w:rsidRDefault="00190C9A">
      <w:pPr>
        <w:rPr>
          <w:rFonts w:ascii="Calibri" w:eastAsia="Calibri" w:hAnsi="Calibri" w:cs="Calibri"/>
          <w:sz w:val="22"/>
          <w:szCs w:val="22"/>
        </w:rPr>
      </w:pPr>
      <w:r>
        <w:rPr>
          <w:rFonts w:ascii="Calibri" w:eastAsia="Calibri" w:hAnsi="Calibri" w:cs="Calibri"/>
          <w:sz w:val="22"/>
          <w:szCs w:val="22"/>
        </w:rPr>
        <w:t>We performed the micro-assessment from [date] to [date] at [describe locations].</w:t>
      </w:r>
    </w:p>
    <w:p w14:paraId="6472E17D"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Through discussion with management, observation and walk-through tests of transactions, we have assessed the Implementing Partner’s and the related internal control system with emphasis on: </w:t>
      </w:r>
    </w:p>
    <w:p w14:paraId="26416655" w14:textId="77777777" w:rsidR="004463E3" w:rsidRDefault="00190C9A">
      <w:pPr>
        <w:numPr>
          <w:ilvl w:val="0"/>
          <w:numId w:val="10"/>
        </w:numPr>
        <w:pBdr>
          <w:top w:val="nil"/>
          <w:left w:val="nil"/>
          <w:bottom w:val="nil"/>
          <w:right w:val="nil"/>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The effectiveness of the systems in providing the Implementing Partner’s management with accurate and timely information for management of funds and assets in accordance with work plans and agreements with the United Nations agencies; </w:t>
      </w:r>
    </w:p>
    <w:p w14:paraId="35FF9043" w14:textId="77777777" w:rsidR="004463E3" w:rsidRDefault="00190C9A">
      <w:pPr>
        <w:numPr>
          <w:ilvl w:val="0"/>
          <w:numId w:val="10"/>
        </w:numPr>
        <w:pBdr>
          <w:top w:val="nil"/>
          <w:left w:val="nil"/>
          <w:bottom w:val="nil"/>
          <w:right w:val="nil"/>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 xml:space="preserve">The general effectiveness of the internal control system in protecting the assets and resources of the Implementing Partner. </w:t>
      </w:r>
    </w:p>
    <w:p w14:paraId="284E3BD3" w14:textId="77777777" w:rsidR="004463E3" w:rsidRDefault="00190C9A">
      <w:pPr>
        <w:rPr>
          <w:rFonts w:ascii="Calibri" w:eastAsia="Calibri" w:hAnsi="Calibri" w:cs="Calibri"/>
          <w:sz w:val="22"/>
          <w:szCs w:val="22"/>
        </w:rPr>
      </w:pPr>
      <w:r>
        <w:rPr>
          <w:rFonts w:ascii="Calibri" w:eastAsia="Calibri" w:hAnsi="Calibri" w:cs="Calibri"/>
          <w:sz w:val="22"/>
          <w:szCs w:val="22"/>
        </w:rPr>
        <w:t>We discussed the results of the micro assessment with applicable UN agency personnel and the IP prior to finalization of the report. The list of persons met and interviewed during the micro-assessment is set out in Annex III.</w:t>
      </w:r>
    </w:p>
    <w:p w14:paraId="5C59CD31" w14:textId="77777777" w:rsidR="004463E3" w:rsidRDefault="004463E3">
      <w:pPr>
        <w:rPr>
          <w:rFonts w:ascii="Calibri" w:eastAsia="Calibri" w:hAnsi="Calibri" w:cs="Calibri"/>
          <w:sz w:val="22"/>
          <w:szCs w:val="22"/>
        </w:rPr>
      </w:pPr>
    </w:p>
    <w:p w14:paraId="11631B0D" w14:textId="77777777" w:rsidR="002B27A7" w:rsidRDefault="002B27A7">
      <w:pPr>
        <w:rPr>
          <w:rFonts w:ascii="Calibri" w:eastAsia="Calibri" w:hAnsi="Calibri" w:cs="Calibri"/>
          <w:b/>
          <w:sz w:val="22"/>
          <w:szCs w:val="22"/>
        </w:rPr>
      </w:pPr>
      <w:r>
        <w:rPr>
          <w:rFonts w:ascii="Calibri" w:eastAsia="Calibri" w:hAnsi="Calibri" w:cs="Calibri"/>
          <w:b/>
          <w:sz w:val="22"/>
          <w:szCs w:val="22"/>
        </w:rPr>
        <w:br w:type="page"/>
      </w:r>
    </w:p>
    <w:p w14:paraId="578DCB45" w14:textId="2442F7DD" w:rsidR="00866C77" w:rsidRDefault="00866C77">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Partner summary information</w:t>
      </w:r>
      <w:r w:rsidR="00CC7119">
        <w:rPr>
          <w:rFonts w:ascii="Calibri" w:eastAsia="Calibri" w:hAnsi="Calibri" w:cs="Calibri"/>
          <w:b/>
          <w:sz w:val="22"/>
          <w:szCs w:val="22"/>
        </w:rPr>
        <w:t xml:space="preserve"> (taken from “Information” tab of the </w:t>
      </w:r>
      <w:r w:rsidR="005A740C">
        <w:rPr>
          <w:rFonts w:ascii="Calibri" w:eastAsia="Calibri" w:hAnsi="Calibri" w:cs="Calibri"/>
          <w:b/>
          <w:sz w:val="22"/>
          <w:szCs w:val="22"/>
        </w:rPr>
        <w:t>assessment Excel document)</w:t>
      </w:r>
    </w:p>
    <w:p w14:paraId="1145E8A9" w14:textId="427D7098" w:rsidR="002B27A7" w:rsidRDefault="00CC7119" w:rsidP="42AB921A">
      <w:pPr>
        <w:rPr>
          <w:rFonts w:ascii="Calibri" w:eastAsia="Calibri" w:hAnsi="Calibri" w:cs="Calibri"/>
          <w:b/>
          <w:bCs/>
          <w:sz w:val="22"/>
          <w:szCs w:val="22"/>
        </w:rPr>
      </w:pPr>
      <w:r w:rsidRPr="00CC7119">
        <w:rPr>
          <w:rFonts w:eastAsia="Calibri"/>
          <w:noProof/>
        </w:rPr>
        <w:drawing>
          <wp:inline distT="0" distB="0" distL="0" distR="0" wp14:anchorId="40E4C912" wp14:editId="13B1868A">
            <wp:extent cx="5428584" cy="6210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969" cy="6218748"/>
                    </a:xfrm>
                    <a:prstGeom prst="rect">
                      <a:avLst/>
                    </a:prstGeom>
                    <a:noFill/>
                    <a:ln>
                      <a:noFill/>
                    </a:ln>
                  </pic:spPr>
                </pic:pic>
              </a:graphicData>
            </a:graphic>
          </wp:inline>
        </w:drawing>
      </w:r>
    </w:p>
    <w:p w14:paraId="200B0A05" w14:textId="77777777" w:rsidR="00CC7119" w:rsidRDefault="00CC7119">
      <w:pPr>
        <w:rPr>
          <w:rFonts w:ascii="Calibri" w:eastAsia="Calibri" w:hAnsi="Calibri" w:cs="Calibri"/>
          <w:b/>
          <w:sz w:val="22"/>
          <w:szCs w:val="22"/>
        </w:rPr>
      </w:pPr>
      <w:r>
        <w:rPr>
          <w:rFonts w:ascii="Calibri" w:eastAsia="Calibri" w:hAnsi="Calibri" w:cs="Calibri"/>
          <w:b/>
          <w:sz w:val="22"/>
          <w:szCs w:val="22"/>
        </w:rPr>
        <w:br w:type="page"/>
      </w:r>
    </w:p>
    <w:p w14:paraId="7C21ABD6" w14:textId="61554A2A" w:rsidR="004463E3" w:rsidRDefault="00190C9A">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Summary of Risk Assessment Results</w:t>
      </w:r>
    </w:p>
    <w:p w14:paraId="32CA252F" w14:textId="77777777" w:rsidR="004463E3" w:rsidRDefault="00190C9A">
      <w:pPr>
        <w:rPr>
          <w:rFonts w:ascii="Calibri" w:eastAsia="Calibri" w:hAnsi="Calibri" w:cs="Calibri"/>
          <w:sz w:val="22"/>
          <w:szCs w:val="22"/>
        </w:rPr>
      </w:pPr>
      <w:r>
        <w:rPr>
          <w:rFonts w:ascii="Calibri" w:eastAsia="Calibri" w:hAnsi="Calibri" w:cs="Calibri"/>
          <w:b/>
          <w:i/>
          <w:sz w:val="22"/>
          <w:szCs w:val="22"/>
        </w:rPr>
        <w:t>[Executive summary of the overall risk assessment]</w:t>
      </w:r>
      <w:r>
        <w:rPr>
          <w:rFonts w:ascii="Calibri" w:eastAsia="Calibri" w:hAnsi="Calibri" w:cs="Calibri"/>
          <w:sz w:val="22"/>
          <w:szCs w:val="22"/>
        </w:rPr>
        <w:t xml:space="preserve">. </w:t>
      </w:r>
    </w:p>
    <w:p w14:paraId="10013A0B" w14:textId="77777777" w:rsidR="004463E3" w:rsidRDefault="004463E3">
      <w:pPr>
        <w:rPr>
          <w:rFonts w:ascii="Calibri" w:eastAsia="Calibri" w:hAnsi="Calibri" w:cs="Calibri"/>
          <w:sz w:val="22"/>
          <w:szCs w:val="22"/>
        </w:rPr>
      </w:pPr>
    </w:p>
    <w:p w14:paraId="1A1C73CB"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The table below summarizes the results and main internal control gaps found during application of the micro-assessment questionnaire (in Annex IV). Detailed findings and recommendations are set out in section 3. below. </w:t>
      </w:r>
    </w:p>
    <w:p w14:paraId="5092E446" w14:textId="77777777" w:rsidR="004463E3" w:rsidRDefault="004463E3">
      <w:pPr>
        <w:rPr>
          <w:rFonts w:ascii="Calibri" w:eastAsia="Calibri" w:hAnsi="Calibri" w:cs="Calibri"/>
          <w:sz w:val="22"/>
          <w:szCs w:val="22"/>
        </w:rPr>
      </w:pPr>
    </w:p>
    <w:tbl>
      <w:tblPr>
        <w:tblW w:w="8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00" w:firstRow="0" w:lastRow="0" w:firstColumn="0" w:lastColumn="0" w:noHBand="0" w:noVBand="1"/>
      </w:tblPr>
      <w:tblGrid>
        <w:gridCol w:w="2037"/>
        <w:gridCol w:w="1559"/>
        <w:gridCol w:w="5394"/>
      </w:tblGrid>
      <w:tr w:rsidR="004463E3" w14:paraId="122D52A4" w14:textId="77777777">
        <w:trPr>
          <w:tblHeader/>
        </w:trPr>
        <w:tc>
          <w:tcPr>
            <w:tcW w:w="203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4C2DBE" w14:textId="77777777" w:rsidR="004463E3" w:rsidRDefault="00190C9A">
            <w:pPr>
              <w:pBdr>
                <w:top w:val="nil"/>
                <w:left w:val="nil"/>
                <w:bottom w:val="nil"/>
                <w:right w:val="nil"/>
                <w:between w:val="nil"/>
              </w:pBdr>
              <w:spacing w:before="20" w:after="20" w:line="256" w:lineRule="auto"/>
              <w:jc w:val="left"/>
              <w:rPr>
                <w:rFonts w:ascii="Calibri" w:eastAsia="Calibri" w:hAnsi="Calibri" w:cs="Calibri"/>
                <w:b/>
                <w:sz w:val="22"/>
                <w:szCs w:val="22"/>
              </w:rPr>
            </w:pPr>
            <w:r>
              <w:rPr>
                <w:rFonts w:ascii="Calibri" w:eastAsia="Calibri" w:hAnsi="Calibri" w:cs="Calibri"/>
                <w:b/>
                <w:sz w:val="22"/>
                <w:szCs w:val="22"/>
              </w:rPr>
              <w:t>Subject area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B83A379" w14:textId="77777777" w:rsidR="004463E3" w:rsidRDefault="00190C9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Risk assessment*</w:t>
            </w:r>
          </w:p>
        </w:tc>
        <w:tc>
          <w:tcPr>
            <w:tcW w:w="539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4231D71" w14:textId="77777777" w:rsidR="004463E3" w:rsidRDefault="00190C9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Brief justification for rating (main internal control gaps)</w:t>
            </w:r>
          </w:p>
        </w:tc>
      </w:tr>
      <w:tr w:rsidR="004463E3" w14:paraId="04122F7A" w14:textId="77777777">
        <w:tc>
          <w:tcPr>
            <w:tcW w:w="2037" w:type="dxa"/>
            <w:tcBorders>
              <w:top w:val="single" w:sz="4" w:space="0" w:color="000000"/>
              <w:left w:val="single" w:sz="4" w:space="0" w:color="000000"/>
              <w:bottom w:val="single" w:sz="4" w:space="0" w:color="000000"/>
              <w:right w:val="single" w:sz="4" w:space="0" w:color="000000"/>
            </w:tcBorders>
          </w:tcPr>
          <w:p w14:paraId="6FC82834"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1. Organisation</w:t>
            </w:r>
          </w:p>
        </w:tc>
        <w:tc>
          <w:tcPr>
            <w:tcW w:w="1559" w:type="dxa"/>
            <w:tcBorders>
              <w:top w:val="single" w:sz="4" w:space="0" w:color="000000"/>
              <w:left w:val="single" w:sz="4" w:space="0" w:color="000000"/>
              <w:bottom w:val="single" w:sz="4" w:space="0" w:color="000000"/>
              <w:right w:val="single" w:sz="4" w:space="0" w:color="000000"/>
            </w:tcBorders>
          </w:tcPr>
          <w:p w14:paraId="6CBB4FCB"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68F11727"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708FB911" w14:textId="77777777">
        <w:tc>
          <w:tcPr>
            <w:tcW w:w="2037" w:type="dxa"/>
            <w:tcBorders>
              <w:top w:val="single" w:sz="4" w:space="0" w:color="000000"/>
              <w:left w:val="single" w:sz="4" w:space="0" w:color="000000"/>
              <w:bottom w:val="single" w:sz="4" w:space="0" w:color="000000"/>
              <w:right w:val="single" w:sz="4" w:space="0" w:color="000000"/>
            </w:tcBorders>
          </w:tcPr>
          <w:p w14:paraId="48B41BE9"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2. People and behaviours</w:t>
            </w:r>
          </w:p>
        </w:tc>
        <w:tc>
          <w:tcPr>
            <w:tcW w:w="1559" w:type="dxa"/>
            <w:tcBorders>
              <w:top w:val="single" w:sz="4" w:space="0" w:color="000000"/>
              <w:left w:val="single" w:sz="4" w:space="0" w:color="000000"/>
              <w:bottom w:val="single" w:sz="4" w:space="0" w:color="000000"/>
              <w:right w:val="single" w:sz="4" w:space="0" w:color="000000"/>
            </w:tcBorders>
          </w:tcPr>
          <w:p w14:paraId="409F8326"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27729E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1F8A6178" w14:textId="77777777">
        <w:tc>
          <w:tcPr>
            <w:tcW w:w="2037" w:type="dxa"/>
            <w:tcBorders>
              <w:top w:val="single" w:sz="4" w:space="0" w:color="000000"/>
              <w:left w:val="single" w:sz="4" w:space="0" w:color="000000"/>
              <w:bottom w:val="single" w:sz="4" w:space="0" w:color="000000"/>
              <w:right w:val="single" w:sz="4" w:space="0" w:color="000000"/>
            </w:tcBorders>
          </w:tcPr>
          <w:p w14:paraId="54BBB0D1"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 xml:space="preserve">3. Activities </w:t>
            </w:r>
          </w:p>
        </w:tc>
        <w:tc>
          <w:tcPr>
            <w:tcW w:w="1559" w:type="dxa"/>
            <w:tcBorders>
              <w:top w:val="single" w:sz="4" w:space="0" w:color="000000"/>
              <w:left w:val="single" w:sz="4" w:space="0" w:color="000000"/>
              <w:bottom w:val="single" w:sz="4" w:space="0" w:color="000000"/>
              <w:right w:val="single" w:sz="4" w:space="0" w:color="000000"/>
            </w:tcBorders>
          </w:tcPr>
          <w:p w14:paraId="3F7B34A4"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749F54F0"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247181DF" w14:textId="77777777">
        <w:tc>
          <w:tcPr>
            <w:tcW w:w="2037" w:type="dxa"/>
            <w:tcBorders>
              <w:top w:val="single" w:sz="4" w:space="0" w:color="000000"/>
              <w:left w:val="single" w:sz="4" w:space="0" w:color="000000"/>
              <w:bottom w:val="single" w:sz="4" w:space="0" w:color="000000"/>
              <w:right w:val="single" w:sz="4" w:space="0" w:color="000000"/>
            </w:tcBorders>
          </w:tcPr>
          <w:p w14:paraId="1AC9E9D3"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4. Reporting and accountability</w:t>
            </w:r>
          </w:p>
        </w:tc>
        <w:tc>
          <w:tcPr>
            <w:tcW w:w="1559" w:type="dxa"/>
            <w:tcBorders>
              <w:top w:val="single" w:sz="4" w:space="0" w:color="000000"/>
              <w:left w:val="single" w:sz="4" w:space="0" w:color="000000"/>
              <w:bottom w:val="single" w:sz="4" w:space="0" w:color="000000"/>
              <w:right w:val="single" w:sz="4" w:space="0" w:color="000000"/>
            </w:tcBorders>
          </w:tcPr>
          <w:p w14:paraId="4F1C0417"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0D5C84A"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1ABC5385" w14:textId="77777777">
        <w:tc>
          <w:tcPr>
            <w:tcW w:w="2037" w:type="dxa"/>
            <w:tcBorders>
              <w:top w:val="single" w:sz="4" w:space="0" w:color="000000"/>
              <w:left w:val="single" w:sz="4" w:space="0" w:color="000000"/>
              <w:bottom w:val="single" w:sz="4" w:space="0" w:color="000000"/>
              <w:right w:val="single" w:sz="4" w:space="0" w:color="000000"/>
            </w:tcBorders>
          </w:tcPr>
          <w:p w14:paraId="31900A53"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5. Assets and Inventory</w:t>
            </w:r>
          </w:p>
        </w:tc>
        <w:tc>
          <w:tcPr>
            <w:tcW w:w="1559" w:type="dxa"/>
            <w:tcBorders>
              <w:top w:val="single" w:sz="4" w:space="0" w:color="000000"/>
              <w:left w:val="single" w:sz="4" w:space="0" w:color="000000"/>
              <w:bottom w:val="single" w:sz="4" w:space="0" w:color="000000"/>
              <w:right w:val="single" w:sz="4" w:space="0" w:color="000000"/>
            </w:tcBorders>
          </w:tcPr>
          <w:p w14:paraId="7DE8EDF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6BFE6D84"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0529EB67" w14:textId="77777777">
        <w:tc>
          <w:tcPr>
            <w:tcW w:w="2037" w:type="dxa"/>
            <w:tcBorders>
              <w:top w:val="single" w:sz="4" w:space="0" w:color="000000"/>
              <w:left w:val="single" w:sz="4" w:space="0" w:color="000000"/>
              <w:bottom w:val="single" w:sz="4" w:space="0" w:color="000000"/>
              <w:right w:val="single" w:sz="4" w:space="0" w:color="000000"/>
            </w:tcBorders>
          </w:tcPr>
          <w:p w14:paraId="45DCE4D1"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6. Procurement</w:t>
            </w:r>
          </w:p>
        </w:tc>
        <w:tc>
          <w:tcPr>
            <w:tcW w:w="1559" w:type="dxa"/>
            <w:tcBorders>
              <w:top w:val="single" w:sz="4" w:space="0" w:color="000000"/>
              <w:left w:val="single" w:sz="4" w:space="0" w:color="000000"/>
              <w:bottom w:val="single" w:sz="4" w:space="0" w:color="000000"/>
              <w:right w:val="single" w:sz="4" w:space="0" w:color="000000"/>
            </w:tcBorders>
          </w:tcPr>
          <w:p w14:paraId="4642F50D"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11BFC65F"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4869EC60" w14:textId="77777777">
        <w:tc>
          <w:tcPr>
            <w:tcW w:w="2037" w:type="dxa"/>
            <w:tcBorders>
              <w:top w:val="single" w:sz="4" w:space="0" w:color="000000"/>
              <w:left w:val="single" w:sz="4" w:space="0" w:color="000000"/>
              <w:bottom w:val="single" w:sz="4" w:space="0" w:color="000000"/>
              <w:right w:val="single" w:sz="4" w:space="0" w:color="000000"/>
            </w:tcBorders>
          </w:tcPr>
          <w:p w14:paraId="34388D6F"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7. Sub-partners</w:t>
            </w:r>
          </w:p>
        </w:tc>
        <w:tc>
          <w:tcPr>
            <w:tcW w:w="1559" w:type="dxa"/>
            <w:tcBorders>
              <w:top w:val="single" w:sz="4" w:space="0" w:color="000000"/>
              <w:left w:val="single" w:sz="4" w:space="0" w:color="000000"/>
              <w:bottom w:val="single" w:sz="4" w:space="0" w:color="000000"/>
              <w:right w:val="single" w:sz="4" w:space="0" w:color="000000"/>
            </w:tcBorders>
          </w:tcPr>
          <w:p w14:paraId="7896ABF2"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74F4DD6"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60375DB7" w14:textId="77777777">
        <w:tc>
          <w:tcPr>
            <w:tcW w:w="2037" w:type="dxa"/>
            <w:tcBorders>
              <w:top w:val="single" w:sz="4" w:space="0" w:color="000000"/>
              <w:left w:val="single" w:sz="4" w:space="0" w:color="000000"/>
              <w:bottom w:val="single" w:sz="4" w:space="0" w:color="000000"/>
              <w:right w:val="single" w:sz="4" w:space="0" w:color="000000"/>
            </w:tcBorders>
          </w:tcPr>
          <w:p w14:paraId="229DEC5A" w14:textId="5E082E56"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8.</w:t>
            </w:r>
            <w:r w:rsidR="0032626F">
              <w:rPr>
                <w:rFonts w:ascii="Calibri" w:eastAsia="Calibri" w:hAnsi="Calibri" w:cs="Calibri"/>
                <w:b/>
                <w:sz w:val="22"/>
                <w:szCs w:val="22"/>
              </w:rPr>
              <w:t xml:space="preserve"> </w:t>
            </w:r>
            <w:r>
              <w:rPr>
                <w:rFonts w:ascii="Calibri" w:eastAsia="Calibri" w:hAnsi="Calibri" w:cs="Calibri"/>
                <w:b/>
                <w:sz w:val="22"/>
                <w:szCs w:val="22"/>
              </w:rPr>
              <w:t>Systems</w:t>
            </w:r>
          </w:p>
        </w:tc>
        <w:tc>
          <w:tcPr>
            <w:tcW w:w="1559" w:type="dxa"/>
            <w:tcBorders>
              <w:top w:val="single" w:sz="4" w:space="0" w:color="000000"/>
              <w:left w:val="single" w:sz="4" w:space="0" w:color="000000"/>
              <w:bottom w:val="single" w:sz="4" w:space="0" w:color="000000"/>
              <w:right w:val="single" w:sz="4" w:space="0" w:color="000000"/>
            </w:tcBorders>
          </w:tcPr>
          <w:p w14:paraId="1F810B7E"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34A2AF9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3A0B991B" w14:textId="77777777">
        <w:tc>
          <w:tcPr>
            <w:tcW w:w="2037" w:type="dxa"/>
            <w:tcBorders>
              <w:top w:val="single" w:sz="4" w:space="0" w:color="000000"/>
              <w:left w:val="single" w:sz="4" w:space="0" w:color="000000"/>
              <w:bottom w:val="single" w:sz="4" w:space="0" w:color="000000"/>
              <w:right w:val="single" w:sz="4" w:space="0" w:color="000000"/>
            </w:tcBorders>
            <w:shd w:val="clear" w:color="auto" w:fill="FBD5B5"/>
          </w:tcPr>
          <w:p w14:paraId="47132D37"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Overall Risk Assessment</w:t>
            </w:r>
          </w:p>
        </w:tc>
        <w:tc>
          <w:tcPr>
            <w:tcW w:w="1559" w:type="dxa"/>
            <w:tcBorders>
              <w:top w:val="single" w:sz="4" w:space="0" w:color="000000"/>
              <w:left w:val="single" w:sz="4" w:space="0" w:color="000000"/>
              <w:bottom w:val="single" w:sz="4" w:space="0" w:color="000000"/>
              <w:right w:val="single" w:sz="4" w:space="0" w:color="000000"/>
            </w:tcBorders>
            <w:shd w:val="clear" w:color="auto" w:fill="FBD5B5"/>
          </w:tcPr>
          <w:p w14:paraId="45BA7ADC"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shd w:val="clear" w:color="auto" w:fill="FBD5B5"/>
          </w:tcPr>
          <w:p w14:paraId="1E0828A2"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bl>
    <w:p w14:paraId="69FD7ADF" w14:textId="77777777" w:rsidR="004463E3" w:rsidRDefault="00190C9A">
      <w:pPr>
        <w:rPr>
          <w:rFonts w:ascii="Calibri" w:eastAsia="Calibri" w:hAnsi="Calibri" w:cs="Calibri"/>
          <w:i/>
          <w:sz w:val="22"/>
          <w:szCs w:val="22"/>
        </w:rPr>
      </w:pPr>
      <w:bookmarkStart w:id="1" w:name="_heading=h.30j0zll" w:colFirst="0" w:colLast="0"/>
      <w:bookmarkEnd w:id="1"/>
      <w:r>
        <w:rPr>
          <w:rFonts w:ascii="Calibri" w:eastAsia="Calibri" w:hAnsi="Calibri" w:cs="Calibri"/>
          <w:i/>
          <w:sz w:val="22"/>
          <w:szCs w:val="22"/>
        </w:rPr>
        <w:t>*High, Significant, Moderate, Low</w:t>
      </w:r>
    </w:p>
    <w:p w14:paraId="3C5FA397" w14:textId="77777777" w:rsidR="004463E3" w:rsidRDefault="004463E3">
      <w:pPr>
        <w:spacing w:after="0"/>
        <w:jc w:val="left"/>
        <w:rPr>
          <w:rFonts w:ascii="Calibri" w:eastAsia="Calibri" w:hAnsi="Calibri" w:cs="Calibri"/>
          <w:sz w:val="22"/>
          <w:szCs w:val="22"/>
        </w:rPr>
      </w:pPr>
    </w:p>
    <w:p w14:paraId="3C13A4E2" w14:textId="77777777" w:rsidR="004463E3" w:rsidRDefault="004463E3">
      <w:pPr>
        <w:spacing w:after="0"/>
        <w:jc w:val="left"/>
        <w:rPr>
          <w:rFonts w:ascii="Calibri" w:eastAsia="Calibri" w:hAnsi="Calibri" w:cs="Calibri"/>
          <w:sz w:val="22"/>
          <w:szCs w:val="22"/>
        </w:rPr>
      </w:pPr>
    </w:p>
    <w:p w14:paraId="6CDAAFBE" w14:textId="77777777" w:rsidR="005A740C" w:rsidRDefault="005A740C">
      <w:pPr>
        <w:rPr>
          <w:rFonts w:ascii="Calibri" w:eastAsia="Calibri" w:hAnsi="Calibri" w:cs="Calibri"/>
          <w:b/>
          <w:sz w:val="22"/>
          <w:szCs w:val="22"/>
        </w:rPr>
      </w:pPr>
      <w:r>
        <w:rPr>
          <w:rFonts w:ascii="Calibri" w:eastAsia="Calibri" w:hAnsi="Calibri" w:cs="Calibri"/>
          <w:b/>
          <w:sz w:val="22"/>
          <w:szCs w:val="22"/>
        </w:rPr>
        <w:br w:type="page"/>
      </w:r>
    </w:p>
    <w:p w14:paraId="58A94173" w14:textId="1C831C20" w:rsidR="004463E3" w:rsidRDefault="00190C9A">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 xml:space="preserve">Detailed Internal Control Findings and Recommendations </w:t>
      </w:r>
    </w:p>
    <w:tbl>
      <w:tblPr>
        <w:tblW w:w="9607"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85" w:type="dxa"/>
          <w:bottom w:w="57" w:type="dxa"/>
          <w:right w:w="85" w:type="dxa"/>
        </w:tblCellMar>
        <w:tblLook w:val="0400" w:firstRow="0" w:lastRow="0" w:firstColumn="0" w:lastColumn="0" w:noHBand="0" w:noVBand="1"/>
      </w:tblPr>
      <w:tblGrid>
        <w:gridCol w:w="492"/>
        <w:gridCol w:w="4073"/>
        <w:gridCol w:w="5042"/>
      </w:tblGrid>
      <w:tr w:rsidR="004463E3" w14:paraId="0EC65DBE" w14:textId="77777777">
        <w:tc>
          <w:tcPr>
            <w:tcW w:w="492" w:type="dxa"/>
            <w:tcBorders>
              <w:top w:val="single" w:sz="4" w:space="0" w:color="000000"/>
              <w:left w:val="single" w:sz="4" w:space="0" w:color="000000"/>
              <w:bottom w:val="single" w:sz="4" w:space="0" w:color="000000"/>
              <w:right w:val="single" w:sz="4" w:space="0" w:color="000000"/>
            </w:tcBorders>
            <w:shd w:val="clear" w:color="auto" w:fill="D9D9D9"/>
          </w:tcPr>
          <w:p w14:paraId="7040C053" w14:textId="77777777" w:rsidR="004463E3" w:rsidRDefault="00190C9A">
            <w:pPr>
              <w:spacing w:before="60"/>
              <w:rPr>
                <w:rFonts w:ascii="Calibri" w:eastAsia="Calibri" w:hAnsi="Calibri" w:cs="Calibri"/>
                <w:b/>
                <w:sz w:val="22"/>
                <w:szCs w:val="22"/>
              </w:rPr>
            </w:pPr>
            <w:r>
              <w:rPr>
                <w:rFonts w:ascii="Calibri" w:eastAsia="Calibri" w:hAnsi="Calibri" w:cs="Calibri"/>
                <w:b/>
                <w:sz w:val="22"/>
                <w:szCs w:val="22"/>
              </w:rPr>
              <w:t>No.</w:t>
            </w:r>
          </w:p>
        </w:tc>
        <w:tc>
          <w:tcPr>
            <w:tcW w:w="4073" w:type="dxa"/>
            <w:tcBorders>
              <w:top w:val="single" w:sz="4" w:space="0" w:color="000000"/>
              <w:left w:val="single" w:sz="4" w:space="0" w:color="000000"/>
              <w:bottom w:val="single" w:sz="4" w:space="0" w:color="000000"/>
              <w:right w:val="single" w:sz="4" w:space="0" w:color="000000"/>
            </w:tcBorders>
            <w:shd w:val="clear" w:color="auto" w:fill="D9D9D9"/>
          </w:tcPr>
          <w:p w14:paraId="7F1F3166" w14:textId="77777777" w:rsidR="004463E3" w:rsidRDefault="00190C9A">
            <w:pPr>
              <w:spacing w:before="60" w:after="60"/>
              <w:rPr>
                <w:rFonts w:ascii="Calibri" w:eastAsia="Calibri" w:hAnsi="Calibri" w:cs="Calibri"/>
                <w:b/>
                <w:sz w:val="22"/>
                <w:szCs w:val="22"/>
              </w:rPr>
            </w:pPr>
            <w:r>
              <w:rPr>
                <w:rFonts w:ascii="Calibri" w:eastAsia="Calibri" w:hAnsi="Calibri" w:cs="Calibri"/>
                <w:b/>
                <w:sz w:val="22"/>
                <w:szCs w:val="22"/>
              </w:rPr>
              <w:t>Description of Finding</w:t>
            </w:r>
          </w:p>
        </w:tc>
        <w:tc>
          <w:tcPr>
            <w:tcW w:w="5042" w:type="dxa"/>
            <w:tcBorders>
              <w:top w:val="single" w:sz="4" w:space="0" w:color="000000"/>
              <w:left w:val="single" w:sz="4" w:space="0" w:color="000000"/>
              <w:bottom w:val="single" w:sz="4" w:space="0" w:color="000000"/>
              <w:right w:val="single" w:sz="4" w:space="0" w:color="000000"/>
            </w:tcBorders>
            <w:shd w:val="clear" w:color="auto" w:fill="D9D9D9"/>
          </w:tcPr>
          <w:p w14:paraId="6AB722FE" w14:textId="77777777" w:rsidR="004463E3" w:rsidRDefault="00190C9A">
            <w:pPr>
              <w:spacing w:before="60" w:after="60"/>
              <w:rPr>
                <w:rFonts w:ascii="Calibri" w:eastAsia="Calibri" w:hAnsi="Calibri" w:cs="Calibri"/>
                <w:b/>
                <w:sz w:val="22"/>
                <w:szCs w:val="22"/>
              </w:rPr>
            </w:pPr>
            <w:r>
              <w:rPr>
                <w:rFonts w:ascii="Calibri" w:eastAsia="Calibri" w:hAnsi="Calibri" w:cs="Calibri"/>
                <w:b/>
                <w:sz w:val="22"/>
                <w:szCs w:val="22"/>
              </w:rPr>
              <w:t xml:space="preserve">Recommendation and </w:t>
            </w:r>
            <w:r>
              <w:rPr>
                <w:rFonts w:ascii="Calibri" w:eastAsia="Calibri" w:hAnsi="Calibri" w:cs="Calibri"/>
                <w:b/>
                <w:sz w:val="22"/>
                <w:szCs w:val="22"/>
                <w:shd w:val="clear" w:color="auto" w:fill="D9D9D9"/>
              </w:rPr>
              <w:t>IP Management Response</w:t>
            </w:r>
          </w:p>
        </w:tc>
      </w:tr>
      <w:tr w:rsidR="004463E3" w14:paraId="0BE27CFA"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6B06F1FA" w14:textId="77777777" w:rsidR="004463E3" w:rsidRDefault="00190C9A">
            <w:pPr>
              <w:rPr>
                <w:rFonts w:ascii="Calibri" w:eastAsia="Calibri" w:hAnsi="Calibri" w:cs="Calibri"/>
                <w:b/>
                <w:sz w:val="22"/>
                <w:szCs w:val="22"/>
              </w:rPr>
            </w:pPr>
            <w:r>
              <w:rPr>
                <w:rFonts w:ascii="Calibri" w:eastAsia="Calibri" w:hAnsi="Calibri" w:cs="Calibri"/>
                <w:b/>
                <w:sz w:val="22"/>
                <w:szCs w:val="22"/>
              </w:rPr>
              <w:t>1.</w:t>
            </w:r>
          </w:p>
        </w:tc>
        <w:tc>
          <w:tcPr>
            <w:tcW w:w="4073" w:type="dxa"/>
            <w:tcBorders>
              <w:top w:val="single" w:sz="4" w:space="0" w:color="000000"/>
              <w:left w:val="single" w:sz="4" w:space="0" w:color="000000"/>
              <w:bottom w:val="single" w:sz="4" w:space="0" w:color="000000"/>
              <w:right w:val="single" w:sz="4" w:space="0" w:color="000000"/>
            </w:tcBorders>
          </w:tcPr>
          <w:p w14:paraId="047DE741" w14:textId="77777777" w:rsidR="004463E3" w:rsidRDefault="00190C9A">
            <w:pPr>
              <w:spacing w:after="120"/>
              <w:rPr>
                <w:rFonts w:ascii="Calibri" w:eastAsia="Calibri" w:hAnsi="Calibri" w:cs="Calibri"/>
                <w:b/>
                <w:i/>
                <w:sz w:val="22"/>
                <w:szCs w:val="22"/>
              </w:rPr>
            </w:pPr>
            <w:r>
              <w:rPr>
                <w:rFonts w:ascii="Calibri" w:eastAsia="Calibri" w:hAnsi="Calibri" w:cs="Calibri"/>
                <w:b/>
                <w:i/>
                <w:sz w:val="22"/>
                <w:szCs w:val="22"/>
              </w:rPr>
              <w:t>Example: Insufficient staff training</w:t>
            </w:r>
          </w:p>
          <w:p w14:paraId="6D1D5D96" w14:textId="77777777" w:rsidR="004463E3" w:rsidRDefault="00190C9A">
            <w:pPr>
              <w:spacing w:after="120"/>
              <w:rPr>
                <w:rFonts w:ascii="Calibri" w:eastAsia="Calibri" w:hAnsi="Calibri" w:cs="Calibri"/>
                <w:b/>
                <w:i/>
                <w:sz w:val="22"/>
                <w:szCs w:val="22"/>
              </w:rPr>
            </w:pPr>
            <w:r>
              <w:rPr>
                <w:rFonts w:ascii="Calibri" w:eastAsia="Calibri" w:hAnsi="Calibri" w:cs="Calibri"/>
                <w:b/>
                <w:i/>
                <w:sz w:val="22"/>
                <w:szCs w:val="22"/>
              </w:rPr>
              <w:t>Priority rating: (High / Medium / Low)</w:t>
            </w:r>
          </w:p>
          <w:p w14:paraId="1A9C2D72" w14:textId="77777777" w:rsidR="004463E3" w:rsidRDefault="00190C9A">
            <w:pPr>
              <w:spacing w:after="120"/>
              <w:rPr>
                <w:rFonts w:ascii="Calibri" w:eastAsia="Calibri" w:hAnsi="Calibri" w:cs="Calibri"/>
                <w:i/>
                <w:sz w:val="22"/>
                <w:szCs w:val="22"/>
              </w:rPr>
            </w:pPr>
            <w:r>
              <w:rPr>
                <w:rFonts w:ascii="Calibri" w:eastAsia="Calibri" w:hAnsi="Calibri" w:cs="Calibri"/>
                <w:i/>
                <w:sz w:val="22"/>
                <w:szCs w:val="22"/>
              </w:rPr>
              <w:t>We noted that staff employed in the accounts department, who were primarily bookkeepers / administrators, had not received training on UN requirements for financial management and reporting, and had received only informal “on the job” training on the GABS accounting system.</w:t>
            </w:r>
          </w:p>
          <w:p w14:paraId="74881BE5" w14:textId="77777777" w:rsidR="004463E3" w:rsidRDefault="00190C9A">
            <w:pPr>
              <w:spacing w:after="120"/>
              <w:rPr>
                <w:rFonts w:ascii="Calibri" w:eastAsia="Calibri" w:hAnsi="Calibri" w:cs="Calibri"/>
                <w:sz w:val="22"/>
                <w:szCs w:val="22"/>
              </w:rPr>
            </w:pPr>
            <w:r>
              <w:rPr>
                <w:rFonts w:ascii="Calibri" w:eastAsia="Calibri" w:hAnsi="Calibri" w:cs="Calibri"/>
                <w:i/>
                <w:sz w:val="22"/>
                <w:szCs w:val="22"/>
              </w:rPr>
              <w:t>Lack of sufficient training increases the risk of error and failure to comply with the UN financial reporting requirements.</w:t>
            </w:r>
          </w:p>
        </w:tc>
        <w:tc>
          <w:tcPr>
            <w:tcW w:w="5042" w:type="dxa"/>
            <w:tcBorders>
              <w:top w:val="single" w:sz="4" w:space="0" w:color="000000"/>
              <w:left w:val="single" w:sz="4" w:space="0" w:color="000000"/>
              <w:bottom w:val="single" w:sz="4" w:space="0" w:color="000000"/>
              <w:right w:val="single" w:sz="4" w:space="0" w:color="000000"/>
            </w:tcBorders>
          </w:tcPr>
          <w:p w14:paraId="24A303D9" w14:textId="77777777" w:rsidR="004463E3" w:rsidRDefault="00190C9A">
            <w:pPr>
              <w:spacing w:after="120"/>
              <w:rPr>
                <w:rFonts w:ascii="Calibri" w:eastAsia="Calibri" w:hAnsi="Calibri" w:cs="Calibri"/>
                <w:i/>
                <w:sz w:val="22"/>
                <w:szCs w:val="22"/>
              </w:rPr>
            </w:pPr>
            <w:r>
              <w:rPr>
                <w:rFonts w:ascii="Calibri" w:eastAsia="Calibri" w:hAnsi="Calibri" w:cs="Calibri"/>
                <w:i/>
                <w:sz w:val="22"/>
                <w:szCs w:val="22"/>
              </w:rPr>
              <w:t xml:space="preserve">Example: </w:t>
            </w:r>
          </w:p>
          <w:p w14:paraId="1CD765CA" w14:textId="77777777" w:rsidR="004463E3" w:rsidRDefault="00190C9A">
            <w:pPr>
              <w:pBdr>
                <w:top w:val="nil"/>
                <w:left w:val="nil"/>
                <w:bottom w:val="nil"/>
                <w:right w:val="nil"/>
                <w:between w:val="nil"/>
              </w:pBdr>
              <w:spacing w:after="120"/>
              <w:ind w:right="-29"/>
              <w:rPr>
                <w:rFonts w:ascii="Calibri" w:eastAsia="Calibri" w:hAnsi="Calibri" w:cs="Calibri"/>
                <w:i/>
                <w:sz w:val="22"/>
                <w:szCs w:val="22"/>
              </w:rPr>
            </w:pPr>
            <w:r>
              <w:rPr>
                <w:rFonts w:ascii="Calibri" w:eastAsia="Calibri" w:hAnsi="Calibri" w:cs="Calibri"/>
                <w:i/>
                <w:sz w:val="22"/>
                <w:szCs w:val="22"/>
              </w:rPr>
              <w:t>The organisation should ensure staff are properly trained and aware of UN financial reporting requirements.</w:t>
            </w:r>
          </w:p>
          <w:p w14:paraId="0E68B494" w14:textId="77777777" w:rsidR="004463E3" w:rsidRDefault="00190C9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b/>
                <w:i/>
                <w:sz w:val="22"/>
                <w:szCs w:val="22"/>
              </w:rPr>
              <w:t>IP Management Response</w:t>
            </w:r>
          </w:p>
          <w:p w14:paraId="61E43C19" w14:textId="77777777" w:rsidR="004463E3" w:rsidRDefault="00190C9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i/>
                <w:sz w:val="22"/>
                <w:szCs w:val="22"/>
              </w:rPr>
              <w:t>A training session with the assistants of the UN Agency HACT Focal Point will be organized within the next month.</w:t>
            </w:r>
          </w:p>
        </w:tc>
      </w:tr>
      <w:tr w:rsidR="004463E3" w14:paraId="6DF1B4E4"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0AE139E5"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7D76CD12" w14:textId="77777777" w:rsidR="004463E3" w:rsidRDefault="00190C9A">
            <w:pPr>
              <w:spacing w:after="120"/>
              <w:rPr>
                <w:rFonts w:ascii="Calibri" w:eastAsia="Calibri" w:hAnsi="Calibri" w:cs="Calibri"/>
                <w:b/>
                <w:sz w:val="22"/>
                <w:szCs w:val="22"/>
              </w:rPr>
            </w:pPr>
            <w:r>
              <w:rPr>
                <w:rFonts w:ascii="Calibri" w:eastAsia="Calibri" w:hAnsi="Calibri" w:cs="Calibri"/>
                <w:b/>
                <w:sz w:val="22"/>
                <w:szCs w:val="22"/>
              </w:rPr>
              <w:t>Etc</w:t>
            </w:r>
          </w:p>
        </w:tc>
        <w:tc>
          <w:tcPr>
            <w:tcW w:w="5042" w:type="dxa"/>
            <w:tcBorders>
              <w:top w:val="single" w:sz="4" w:space="0" w:color="000000"/>
              <w:left w:val="single" w:sz="4" w:space="0" w:color="000000"/>
              <w:bottom w:val="single" w:sz="4" w:space="0" w:color="000000"/>
              <w:right w:val="single" w:sz="4" w:space="0" w:color="000000"/>
            </w:tcBorders>
          </w:tcPr>
          <w:p w14:paraId="51A6254C" w14:textId="77777777" w:rsidR="004463E3" w:rsidRDefault="004463E3">
            <w:pPr>
              <w:spacing w:after="120"/>
              <w:rPr>
                <w:rFonts w:ascii="Calibri" w:eastAsia="Calibri" w:hAnsi="Calibri" w:cs="Calibri"/>
                <w:sz w:val="22"/>
                <w:szCs w:val="22"/>
              </w:rPr>
            </w:pPr>
          </w:p>
        </w:tc>
      </w:tr>
      <w:tr w:rsidR="004463E3" w14:paraId="29BF3931"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6CB57853"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08D5FEC4"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149B6D5D" w14:textId="77777777" w:rsidR="004463E3" w:rsidRDefault="004463E3">
            <w:pPr>
              <w:spacing w:after="120"/>
              <w:rPr>
                <w:rFonts w:ascii="Calibri" w:eastAsia="Calibri" w:hAnsi="Calibri" w:cs="Calibri"/>
                <w:sz w:val="22"/>
                <w:szCs w:val="22"/>
              </w:rPr>
            </w:pPr>
          </w:p>
        </w:tc>
      </w:tr>
      <w:tr w:rsidR="004463E3" w14:paraId="08D0F846"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2801CD51"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682E5EF6"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55FDE898" w14:textId="77777777" w:rsidR="004463E3" w:rsidRDefault="004463E3">
            <w:pPr>
              <w:spacing w:after="120"/>
              <w:rPr>
                <w:rFonts w:ascii="Calibri" w:eastAsia="Calibri" w:hAnsi="Calibri" w:cs="Calibri"/>
                <w:sz w:val="22"/>
                <w:szCs w:val="22"/>
              </w:rPr>
            </w:pPr>
          </w:p>
        </w:tc>
      </w:tr>
      <w:tr w:rsidR="004463E3" w14:paraId="339264DA"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53D13BDE"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1CF29475"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21361A0F" w14:textId="77777777" w:rsidR="004463E3" w:rsidRDefault="004463E3">
            <w:pPr>
              <w:spacing w:after="120"/>
              <w:rPr>
                <w:rFonts w:ascii="Calibri" w:eastAsia="Calibri" w:hAnsi="Calibri" w:cs="Calibri"/>
                <w:sz w:val="22"/>
                <w:szCs w:val="22"/>
              </w:rPr>
            </w:pPr>
          </w:p>
        </w:tc>
      </w:tr>
    </w:tbl>
    <w:p w14:paraId="1233C9E7" w14:textId="77777777" w:rsidR="004463E3" w:rsidRDefault="004463E3">
      <w:pPr>
        <w:rPr>
          <w:rFonts w:ascii="Calibri" w:eastAsia="Calibri" w:hAnsi="Calibri" w:cs="Calibri"/>
          <w:i/>
          <w:sz w:val="22"/>
          <w:szCs w:val="22"/>
        </w:rPr>
      </w:pPr>
    </w:p>
    <w:p w14:paraId="67D55A10" w14:textId="77777777" w:rsidR="004463E3" w:rsidRDefault="004463E3">
      <w:pPr>
        <w:spacing w:after="0"/>
        <w:jc w:val="left"/>
        <w:rPr>
          <w:rFonts w:ascii="Calibri" w:eastAsia="Calibri" w:hAnsi="Calibri" w:cs="Calibri"/>
          <w:b/>
          <w:sz w:val="22"/>
          <w:szCs w:val="22"/>
        </w:rPr>
      </w:pPr>
    </w:p>
    <w:p w14:paraId="323AAC00" w14:textId="77777777" w:rsidR="00F64822" w:rsidRDefault="00190C9A">
      <w:pPr>
        <w:spacing w:after="0"/>
        <w:jc w:val="left"/>
      </w:pPr>
      <w:r>
        <w:br w:type="page"/>
      </w:r>
    </w:p>
    <w:p w14:paraId="2AFD5FC9" w14:textId="592F76AC" w:rsidR="00F64822" w:rsidRDefault="00F64822" w:rsidP="00F64822">
      <w:pPr>
        <w:spacing w:after="0"/>
        <w:jc w:val="left"/>
        <w:rPr>
          <w:rFonts w:ascii="Calibri" w:eastAsia="Calibri" w:hAnsi="Calibri" w:cs="Calibri"/>
          <w:b/>
          <w:sz w:val="22"/>
          <w:szCs w:val="22"/>
        </w:rPr>
      </w:pPr>
      <w:r>
        <w:rPr>
          <w:rFonts w:ascii="Calibri" w:eastAsia="Calibri" w:hAnsi="Calibri" w:cs="Calibri"/>
          <w:b/>
          <w:sz w:val="22"/>
          <w:szCs w:val="22"/>
        </w:rPr>
        <w:t>Annex I. Micro Assessment Questionnaire</w:t>
      </w:r>
    </w:p>
    <w:p w14:paraId="55505CB0" w14:textId="77777777" w:rsidR="00F64822" w:rsidRDefault="00F64822" w:rsidP="00F64822">
      <w:pPr>
        <w:rPr>
          <w:rFonts w:ascii="Calibri" w:eastAsia="Calibri" w:hAnsi="Calibri" w:cs="Calibri"/>
          <w:b/>
          <w:sz w:val="22"/>
          <w:szCs w:val="22"/>
        </w:rPr>
      </w:pPr>
    </w:p>
    <w:p w14:paraId="0700AE66" w14:textId="2501CC3C" w:rsidR="00F64822" w:rsidRDefault="00F64822" w:rsidP="00F64822">
      <w:pPr>
        <w:rPr>
          <w:rFonts w:ascii="Calibri" w:eastAsia="Calibri" w:hAnsi="Calibri" w:cs="Calibri"/>
          <w:sz w:val="22"/>
          <w:szCs w:val="22"/>
        </w:rPr>
      </w:pPr>
      <w:r>
        <w:rPr>
          <w:rFonts w:ascii="Calibri" w:eastAsia="Calibri" w:hAnsi="Calibri" w:cs="Calibri"/>
          <w:sz w:val="22"/>
          <w:szCs w:val="22"/>
        </w:rPr>
        <w:t>Include here the completed questionnaire.</w:t>
      </w:r>
    </w:p>
    <w:p w14:paraId="69382C03" w14:textId="77777777" w:rsidR="00F64822" w:rsidRDefault="00F64822">
      <w:pPr>
        <w:spacing w:after="0"/>
        <w:jc w:val="left"/>
        <w:rPr>
          <w:rFonts w:ascii="Calibri" w:eastAsia="Calibri" w:hAnsi="Calibri" w:cs="Calibri"/>
          <w:b/>
          <w:sz w:val="22"/>
          <w:szCs w:val="22"/>
        </w:rPr>
      </w:pPr>
    </w:p>
    <w:p w14:paraId="4E938434" w14:textId="77777777" w:rsidR="00F64822" w:rsidRDefault="00F64822">
      <w:pPr>
        <w:rPr>
          <w:rFonts w:ascii="Calibri" w:eastAsia="Calibri" w:hAnsi="Calibri" w:cs="Calibri"/>
          <w:b/>
          <w:sz w:val="22"/>
          <w:szCs w:val="22"/>
        </w:rPr>
      </w:pPr>
      <w:r>
        <w:rPr>
          <w:rFonts w:ascii="Calibri" w:eastAsia="Calibri" w:hAnsi="Calibri" w:cs="Calibri"/>
          <w:b/>
          <w:sz w:val="22"/>
          <w:szCs w:val="22"/>
        </w:rPr>
        <w:br w:type="page"/>
      </w:r>
    </w:p>
    <w:p w14:paraId="7EED0C06" w14:textId="0C4397FC" w:rsidR="004463E3" w:rsidRDefault="00190C9A">
      <w:pPr>
        <w:spacing w:after="0"/>
        <w:jc w:val="left"/>
        <w:rPr>
          <w:rFonts w:ascii="Calibri" w:eastAsia="Calibri" w:hAnsi="Calibri" w:cs="Calibri"/>
          <w:b/>
          <w:sz w:val="22"/>
          <w:szCs w:val="22"/>
        </w:rPr>
      </w:pPr>
      <w:r>
        <w:rPr>
          <w:rFonts w:ascii="Calibri" w:eastAsia="Calibri" w:hAnsi="Calibri" w:cs="Calibri"/>
          <w:b/>
          <w:sz w:val="22"/>
          <w:szCs w:val="22"/>
        </w:rPr>
        <w:t xml:space="preserve">Annex </w:t>
      </w:r>
      <w:r w:rsidR="00F64822">
        <w:rPr>
          <w:rFonts w:ascii="Calibri" w:eastAsia="Calibri" w:hAnsi="Calibri" w:cs="Calibri"/>
          <w:b/>
          <w:sz w:val="22"/>
          <w:szCs w:val="22"/>
        </w:rPr>
        <w:t>I</w:t>
      </w:r>
      <w:r>
        <w:rPr>
          <w:rFonts w:ascii="Calibri" w:eastAsia="Calibri" w:hAnsi="Calibri" w:cs="Calibri"/>
          <w:b/>
          <w:sz w:val="22"/>
          <w:szCs w:val="22"/>
        </w:rPr>
        <w:t>I. IP and Programme Information</w:t>
      </w:r>
    </w:p>
    <w:p w14:paraId="66F337D1" w14:textId="77777777" w:rsidR="004463E3" w:rsidRDefault="004463E3">
      <w:pPr>
        <w:pBdr>
          <w:top w:val="nil"/>
          <w:left w:val="nil"/>
          <w:bottom w:val="nil"/>
          <w:right w:val="nil"/>
          <w:between w:val="nil"/>
        </w:pBdr>
        <w:spacing w:after="200"/>
        <w:rPr>
          <w:rFonts w:ascii="Calibri" w:eastAsia="Calibri" w:hAnsi="Calibri" w:cs="Calibri"/>
          <w:sz w:val="22"/>
          <w:szCs w:val="22"/>
        </w:rPr>
      </w:pP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00" w:firstRow="0" w:lastRow="0" w:firstColumn="0" w:lastColumn="0" w:noHBand="0" w:noVBand="1"/>
      </w:tblPr>
      <w:tblGrid>
        <w:gridCol w:w="4594"/>
        <w:gridCol w:w="4396"/>
      </w:tblGrid>
      <w:tr w:rsidR="004463E3" w14:paraId="3F14BEB5" w14:textId="77777777">
        <w:tc>
          <w:tcPr>
            <w:tcW w:w="4594" w:type="dxa"/>
          </w:tcPr>
          <w:p w14:paraId="1BB12DA9"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773172F9"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29133DBE" w14:textId="77777777">
        <w:tc>
          <w:tcPr>
            <w:tcW w:w="4594" w:type="dxa"/>
          </w:tcPr>
          <w:p w14:paraId="19E4F029"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code or ID in UNICEF, UNDP, UNFPA records (as applicable)</w:t>
            </w:r>
          </w:p>
        </w:tc>
        <w:tc>
          <w:tcPr>
            <w:tcW w:w="4396" w:type="dxa"/>
          </w:tcPr>
          <w:p w14:paraId="7EDE1687"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7F5CC7E2" w14:textId="77777777">
        <w:tc>
          <w:tcPr>
            <w:tcW w:w="4594" w:type="dxa"/>
          </w:tcPr>
          <w:p w14:paraId="62346FD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10B4B3A7"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60351B92" w14:textId="77777777">
        <w:tc>
          <w:tcPr>
            <w:tcW w:w="4594" w:type="dxa"/>
          </w:tcPr>
          <w:p w14:paraId="256D2E7A"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Main programmes implemented with the applicable UN Agency/ies:</w:t>
            </w:r>
          </w:p>
        </w:tc>
        <w:tc>
          <w:tcPr>
            <w:tcW w:w="4396" w:type="dxa"/>
          </w:tcPr>
          <w:p w14:paraId="689CBE15"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125482C3" w14:textId="77777777">
        <w:tc>
          <w:tcPr>
            <w:tcW w:w="4594" w:type="dxa"/>
          </w:tcPr>
          <w:p w14:paraId="706F981D"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Key Official in charge of the UN Agency/ies’ prorgamme(s):</w:t>
            </w:r>
          </w:p>
        </w:tc>
        <w:tc>
          <w:tcPr>
            <w:tcW w:w="4396" w:type="dxa"/>
          </w:tcPr>
          <w:p w14:paraId="042B75D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71B37E87" w14:textId="77777777">
        <w:tc>
          <w:tcPr>
            <w:tcW w:w="4594" w:type="dxa"/>
          </w:tcPr>
          <w:p w14:paraId="4F293B8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Programme location(s):</w:t>
            </w:r>
          </w:p>
        </w:tc>
        <w:tc>
          <w:tcPr>
            <w:tcW w:w="4396" w:type="dxa"/>
          </w:tcPr>
          <w:p w14:paraId="7BDD3E7F"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3B4C064" w14:textId="77777777">
        <w:tc>
          <w:tcPr>
            <w:tcW w:w="4594" w:type="dxa"/>
          </w:tcPr>
          <w:p w14:paraId="0E09EC92"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Location of records related to the UN Agency/ies’ prorgamme(s):</w:t>
            </w:r>
          </w:p>
        </w:tc>
        <w:tc>
          <w:tcPr>
            <w:tcW w:w="4396" w:type="dxa"/>
          </w:tcPr>
          <w:p w14:paraId="2DC54354"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5BC1586" w14:textId="77777777">
        <w:tc>
          <w:tcPr>
            <w:tcW w:w="4594" w:type="dxa"/>
          </w:tcPr>
          <w:p w14:paraId="48456BC2"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2A43CA7E"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A31A1C4" w14:textId="77777777">
        <w:tc>
          <w:tcPr>
            <w:tcW w:w="4594" w:type="dxa"/>
          </w:tcPr>
          <w:p w14:paraId="1B926FAD"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Expenditures incurred/reported to UNICEF, UNDP and UNFPA (as applicable) during the most recent financial reporting period (in US$);</w:t>
            </w:r>
          </w:p>
        </w:tc>
        <w:tc>
          <w:tcPr>
            <w:tcW w:w="4396" w:type="dxa"/>
          </w:tcPr>
          <w:p w14:paraId="5BD309F3"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25116C0C" w14:textId="77777777">
        <w:tc>
          <w:tcPr>
            <w:tcW w:w="4594" w:type="dxa"/>
          </w:tcPr>
          <w:p w14:paraId="6D17CB0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Cash transfer modality/ies used by the UN agency/ies to the IP</w:t>
            </w:r>
          </w:p>
        </w:tc>
        <w:tc>
          <w:tcPr>
            <w:tcW w:w="4396" w:type="dxa"/>
          </w:tcPr>
          <w:p w14:paraId="44D47175"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2EB5F67" w14:textId="77777777">
        <w:tc>
          <w:tcPr>
            <w:tcW w:w="4594" w:type="dxa"/>
          </w:tcPr>
          <w:p w14:paraId="286ADA5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2646BDC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625780C" w14:textId="77777777">
        <w:tc>
          <w:tcPr>
            <w:tcW w:w="4594" w:type="dxa"/>
          </w:tcPr>
          <w:p w14:paraId="1AB7994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1081299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F42FBFA" w14:textId="77777777">
        <w:tc>
          <w:tcPr>
            <w:tcW w:w="4594" w:type="dxa"/>
          </w:tcPr>
          <w:p w14:paraId="267B374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p>
        </w:tc>
        <w:tc>
          <w:tcPr>
            <w:tcW w:w="4396" w:type="dxa"/>
          </w:tcPr>
          <w:p w14:paraId="6005881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bl>
    <w:p w14:paraId="57C977F1" w14:textId="77777777" w:rsidR="004463E3" w:rsidRDefault="00190C9A">
      <w:pPr>
        <w:spacing w:after="0"/>
        <w:jc w:val="left"/>
        <w:rPr>
          <w:rFonts w:ascii="Calibri" w:eastAsia="Calibri" w:hAnsi="Calibri" w:cs="Calibri"/>
          <w:b/>
          <w:sz w:val="22"/>
          <w:szCs w:val="22"/>
        </w:rPr>
      </w:pPr>
      <w:r>
        <w:br w:type="page"/>
      </w:r>
    </w:p>
    <w:p w14:paraId="670B3563" w14:textId="2C5BD726" w:rsidR="004463E3" w:rsidRDefault="00190C9A">
      <w:pPr>
        <w:spacing w:after="0"/>
        <w:jc w:val="left"/>
        <w:rPr>
          <w:rFonts w:ascii="Calibri" w:eastAsia="Calibri" w:hAnsi="Calibri" w:cs="Calibri"/>
          <w:b/>
          <w:sz w:val="22"/>
          <w:szCs w:val="22"/>
        </w:rPr>
      </w:pPr>
      <w:bookmarkStart w:id="2" w:name="_heading=h.1fob9te" w:colFirst="0" w:colLast="0"/>
      <w:bookmarkEnd w:id="2"/>
      <w:r>
        <w:rPr>
          <w:rFonts w:ascii="Calibri" w:eastAsia="Calibri" w:hAnsi="Calibri" w:cs="Calibri"/>
          <w:b/>
          <w:sz w:val="22"/>
          <w:szCs w:val="22"/>
        </w:rPr>
        <w:t>Annex II</w:t>
      </w:r>
      <w:r w:rsidR="009338D6">
        <w:rPr>
          <w:rFonts w:ascii="Calibri" w:eastAsia="Calibri" w:hAnsi="Calibri" w:cs="Calibri"/>
          <w:b/>
          <w:sz w:val="22"/>
          <w:szCs w:val="22"/>
        </w:rPr>
        <w:t>I</w:t>
      </w:r>
      <w:r>
        <w:rPr>
          <w:rFonts w:ascii="Calibri" w:eastAsia="Calibri" w:hAnsi="Calibri" w:cs="Calibri"/>
          <w:b/>
          <w:sz w:val="22"/>
          <w:szCs w:val="22"/>
        </w:rPr>
        <w:t>. Implementing Partner Organizational Chart</w:t>
      </w:r>
    </w:p>
    <w:p w14:paraId="340BF2D4" w14:textId="77777777" w:rsidR="004463E3" w:rsidRDefault="00190C9A">
      <w:pPr>
        <w:spacing w:after="0"/>
        <w:jc w:val="left"/>
        <w:rPr>
          <w:rFonts w:ascii="Calibri" w:eastAsia="Calibri" w:hAnsi="Calibri" w:cs="Calibri"/>
          <w:sz w:val="22"/>
          <w:szCs w:val="22"/>
        </w:rPr>
      </w:pPr>
      <w:r>
        <w:br w:type="page"/>
      </w:r>
    </w:p>
    <w:p w14:paraId="496F7D04" w14:textId="21DB7B3D" w:rsidR="004463E3" w:rsidRDefault="00190C9A">
      <w:pPr>
        <w:rPr>
          <w:rFonts w:ascii="Calibri" w:eastAsia="Calibri" w:hAnsi="Calibri" w:cs="Calibri"/>
          <w:b/>
          <w:i/>
          <w:sz w:val="22"/>
          <w:szCs w:val="22"/>
        </w:rPr>
      </w:pPr>
      <w:r>
        <w:rPr>
          <w:rFonts w:ascii="Calibri" w:eastAsia="Calibri" w:hAnsi="Calibri" w:cs="Calibri"/>
          <w:b/>
          <w:sz w:val="22"/>
          <w:szCs w:val="22"/>
        </w:rPr>
        <w:t>Annex I</w:t>
      </w:r>
      <w:r w:rsidR="009338D6">
        <w:rPr>
          <w:rFonts w:ascii="Calibri" w:eastAsia="Calibri" w:hAnsi="Calibri" w:cs="Calibri"/>
          <w:b/>
          <w:sz w:val="22"/>
          <w:szCs w:val="22"/>
        </w:rPr>
        <w:t>V</w:t>
      </w:r>
      <w:r>
        <w:rPr>
          <w:rFonts w:ascii="Calibri" w:eastAsia="Calibri" w:hAnsi="Calibri" w:cs="Calibri"/>
          <w:b/>
          <w:sz w:val="22"/>
          <w:szCs w:val="22"/>
        </w:rPr>
        <w:t>. List of Persons Met</w:t>
      </w:r>
    </w:p>
    <w:tbl>
      <w:tblPr>
        <w:tblW w:w="899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1"/>
        <w:gridCol w:w="3039"/>
        <w:gridCol w:w="2985"/>
      </w:tblGrid>
      <w:tr w:rsidR="004463E3" w14:paraId="6E0E3A30" w14:textId="77777777">
        <w:tc>
          <w:tcPr>
            <w:tcW w:w="2971" w:type="dxa"/>
            <w:tcBorders>
              <w:top w:val="single" w:sz="4" w:space="0" w:color="000000"/>
              <w:left w:val="single" w:sz="4" w:space="0" w:color="000000"/>
              <w:bottom w:val="single" w:sz="4" w:space="0" w:color="000000"/>
              <w:right w:val="single" w:sz="4" w:space="0" w:color="000000"/>
            </w:tcBorders>
          </w:tcPr>
          <w:p w14:paraId="551BDFAA"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Name</w:t>
            </w:r>
          </w:p>
        </w:tc>
        <w:tc>
          <w:tcPr>
            <w:tcW w:w="3039" w:type="dxa"/>
            <w:tcBorders>
              <w:top w:val="single" w:sz="4" w:space="0" w:color="000000"/>
              <w:left w:val="single" w:sz="4" w:space="0" w:color="000000"/>
              <w:bottom w:val="single" w:sz="4" w:space="0" w:color="000000"/>
              <w:right w:val="single" w:sz="4" w:space="0" w:color="000000"/>
            </w:tcBorders>
          </w:tcPr>
          <w:p w14:paraId="2960551A"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Unit/organization</w:t>
            </w:r>
          </w:p>
        </w:tc>
        <w:tc>
          <w:tcPr>
            <w:tcW w:w="2985" w:type="dxa"/>
            <w:tcBorders>
              <w:top w:val="single" w:sz="4" w:space="0" w:color="000000"/>
              <w:left w:val="single" w:sz="4" w:space="0" w:color="000000"/>
              <w:bottom w:val="single" w:sz="4" w:space="0" w:color="000000"/>
              <w:right w:val="single" w:sz="4" w:space="0" w:color="000000"/>
            </w:tcBorders>
          </w:tcPr>
          <w:p w14:paraId="6FAD7FD6"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Position</w:t>
            </w:r>
          </w:p>
        </w:tc>
      </w:tr>
      <w:tr w:rsidR="004463E3" w14:paraId="3A088431" w14:textId="77777777">
        <w:tc>
          <w:tcPr>
            <w:tcW w:w="2971" w:type="dxa"/>
            <w:tcBorders>
              <w:top w:val="single" w:sz="4" w:space="0" w:color="000000"/>
              <w:left w:val="single" w:sz="4" w:space="0" w:color="000000"/>
              <w:bottom w:val="single" w:sz="4" w:space="0" w:color="000000"/>
              <w:right w:val="single" w:sz="4" w:space="0" w:color="000000"/>
            </w:tcBorders>
          </w:tcPr>
          <w:p w14:paraId="32DB309C"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1DE49D2D"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666E8C48" w14:textId="77777777" w:rsidR="004463E3" w:rsidRDefault="004463E3">
            <w:pPr>
              <w:spacing w:after="0"/>
              <w:rPr>
                <w:rFonts w:ascii="Calibri" w:eastAsia="Calibri" w:hAnsi="Calibri" w:cs="Calibri"/>
                <w:b/>
                <w:sz w:val="22"/>
                <w:szCs w:val="22"/>
              </w:rPr>
            </w:pPr>
          </w:p>
        </w:tc>
      </w:tr>
      <w:tr w:rsidR="004463E3" w14:paraId="4756636A" w14:textId="77777777">
        <w:tc>
          <w:tcPr>
            <w:tcW w:w="2971" w:type="dxa"/>
            <w:tcBorders>
              <w:top w:val="single" w:sz="4" w:space="0" w:color="000000"/>
              <w:left w:val="single" w:sz="4" w:space="0" w:color="000000"/>
              <w:bottom w:val="single" w:sz="4" w:space="0" w:color="000000"/>
              <w:right w:val="single" w:sz="4" w:space="0" w:color="000000"/>
            </w:tcBorders>
          </w:tcPr>
          <w:p w14:paraId="73C42410"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46A878F7"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48357F03" w14:textId="77777777" w:rsidR="004463E3" w:rsidRDefault="004463E3">
            <w:pPr>
              <w:spacing w:after="0"/>
              <w:rPr>
                <w:rFonts w:ascii="Calibri" w:eastAsia="Calibri" w:hAnsi="Calibri" w:cs="Calibri"/>
                <w:b/>
                <w:sz w:val="22"/>
                <w:szCs w:val="22"/>
              </w:rPr>
            </w:pPr>
          </w:p>
        </w:tc>
      </w:tr>
      <w:tr w:rsidR="004463E3" w14:paraId="16C1F362" w14:textId="77777777">
        <w:tc>
          <w:tcPr>
            <w:tcW w:w="2971" w:type="dxa"/>
            <w:tcBorders>
              <w:top w:val="single" w:sz="4" w:space="0" w:color="000000"/>
              <w:left w:val="single" w:sz="4" w:space="0" w:color="000000"/>
              <w:bottom w:val="single" w:sz="4" w:space="0" w:color="000000"/>
              <w:right w:val="single" w:sz="4" w:space="0" w:color="000000"/>
            </w:tcBorders>
          </w:tcPr>
          <w:p w14:paraId="5830C4BB"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1F81100"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04B10964" w14:textId="77777777" w:rsidR="004463E3" w:rsidRDefault="004463E3">
            <w:pPr>
              <w:spacing w:after="0"/>
              <w:rPr>
                <w:rFonts w:ascii="Calibri" w:eastAsia="Calibri" w:hAnsi="Calibri" w:cs="Calibri"/>
                <w:b/>
                <w:sz w:val="22"/>
                <w:szCs w:val="22"/>
              </w:rPr>
            </w:pPr>
          </w:p>
        </w:tc>
      </w:tr>
      <w:tr w:rsidR="004463E3" w14:paraId="10FC10DF" w14:textId="77777777">
        <w:tc>
          <w:tcPr>
            <w:tcW w:w="2971" w:type="dxa"/>
            <w:tcBorders>
              <w:top w:val="single" w:sz="4" w:space="0" w:color="000000"/>
              <w:left w:val="single" w:sz="4" w:space="0" w:color="000000"/>
              <w:bottom w:val="single" w:sz="4" w:space="0" w:color="000000"/>
              <w:right w:val="single" w:sz="4" w:space="0" w:color="000000"/>
            </w:tcBorders>
          </w:tcPr>
          <w:p w14:paraId="29A2B6F7"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251FCB1"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7E57FFC4" w14:textId="77777777" w:rsidR="004463E3" w:rsidRDefault="004463E3">
            <w:pPr>
              <w:spacing w:after="0"/>
              <w:rPr>
                <w:rFonts w:ascii="Calibri" w:eastAsia="Calibri" w:hAnsi="Calibri" w:cs="Calibri"/>
                <w:b/>
                <w:sz w:val="22"/>
                <w:szCs w:val="22"/>
              </w:rPr>
            </w:pPr>
          </w:p>
        </w:tc>
      </w:tr>
    </w:tbl>
    <w:p w14:paraId="30270D6E" w14:textId="29DFA1F7" w:rsidR="004463E3" w:rsidRDefault="004463E3">
      <w:pPr>
        <w:spacing w:after="0"/>
        <w:jc w:val="left"/>
        <w:rPr>
          <w:rFonts w:ascii="Calibri" w:eastAsia="Calibri" w:hAnsi="Calibri" w:cs="Calibri"/>
          <w:b/>
          <w:sz w:val="22"/>
          <w:szCs w:val="22"/>
        </w:rPr>
      </w:pPr>
    </w:p>
    <w:sectPr w:rsidR="004463E3">
      <w:footerReference w:type="default" r:id="rId12"/>
      <w:pgSz w:w="11909" w:h="16834"/>
      <w:pgMar w:top="1440" w:right="1469"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CAFB" w14:textId="77777777" w:rsidR="00780BBF" w:rsidRDefault="00780BBF">
      <w:pPr>
        <w:spacing w:after="0"/>
      </w:pPr>
      <w:r>
        <w:separator/>
      </w:r>
    </w:p>
  </w:endnote>
  <w:endnote w:type="continuationSeparator" w:id="0">
    <w:p w14:paraId="2F60FBC8" w14:textId="77777777" w:rsidR="00780BBF" w:rsidRDefault="00780BBF">
      <w:pPr>
        <w:spacing w:after="0"/>
      </w:pPr>
      <w:r>
        <w:continuationSeparator/>
      </w:r>
    </w:p>
  </w:endnote>
  <w:endnote w:type="continuationNotice" w:id="1">
    <w:p w14:paraId="6534837B" w14:textId="77777777" w:rsidR="00780BBF" w:rsidRDefault="00780B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Lucida Grand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5360" w14:textId="77777777" w:rsidR="004463E3" w:rsidRDefault="00190C9A">
    <w:pPr>
      <w:pBdr>
        <w:top w:val="nil"/>
        <w:left w:val="nil"/>
        <w:bottom w:val="nil"/>
        <w:right w:val="nil"/>
        <w:between w:val="nil"/>
      </w:pBdr>
      <w:tabs>
        <w:tab w:val="center" w:pos="4680"/>
        <w:tab w:val="right" w:pos="9360"/>
      </w:tabs>
      <w:spacing w:after="0"/>
      <w:rPr>
        <w:rFonts w:ascii="Calibri" w:eastAsia="Calibri" w:hAnsi="Calibri" w:cs="Calibri"/>
        <w:sz w:val="20"/>
        <w:szCs w:val="20"/>
      </w:rPr>
    </w:pPr>
    <w:r>
      <w:rPr>
        <w:rFonts w:ascii="Calibri" w:eastAsia="Calibri" w:hAnsi="Calibri" w:cs="Calibri"/>
        <w:sz w:val="20"/>
        <w:szCs w:val="20"/>
      </w:rPr>
      <w:t>Issued December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642C1" w14:textId="77777777" w:rsidR="00780BBF" w:rsidRDefault="00780BBF">
      <w:pPr>
        <w:spacing w:after="0"/>
      </w:pPr>
      <w:r>
        <w:separator/>
      </w:r>
    </w:p>
  </w:footnote>
  <w:footnote w:type="continuationSeparator" w:id="0">
    <w:p w14:paraId="47271F8D" w14:textId="77777777" w:rsidR="00780BBF" w:rsidRDefault="00780BBF">
      <w:pPr>
        <w:spacing w:after="0"/>
      </w:pPr>
      <w:r>
        <w:continuationSeparator/>
      </w:r>
    </w:p>
  </w:footnote>
  <w:footnote w:type="continuationNotice" w:id="1">
    <w:p w14:paraId="601BD650" w14:textId="77777777" w:rsidR="00780BBF" w:rsidRDefault="00780BBF">
      <w:pPr>
        <w:spacing w:after="0"/>
      </w:pPr>
    </w:p>
  </w:footnote>
  <w:footnote w:id="2">
    <w:p w14:paraId="4F35C2D3" w14:textId="77777777" w:rsidR="004463E3" w:rsidRDefault="00190C9A">
      <w:pPr>
        <w:pBdr>
          <w:top w:val="nil"/>
          <w:left w:val="nil"/>
          <w:bottom w:val="nil"/>
          <w:right w:val="nil"/>
          <w:between w:val="nil"/>
        </w:pBdr>
        <w:spacing w:after="0"/>
        <w:rPr>
          <w:sz w:val="20"/>
          <w:szCs w:val="20"/>
        </w:rPr>
      </w:pPr>
      <w:r>
        <w:rPr>
          <w:rStyle w:val="FootnoteReference"/>
        </w:rPr>
        <w:footnoteRef/>
      </w:r>
      <w:r>
        <w:rPr>
          <w:sz w:val="20"/>
          <w:szCs w:val="20"/>
        </w:rPr>
        <w:t xml:space="preserve"> </w:t>
      </w:r>
      <w:r>
        <w:rPr>
          <w:rFonts w:ascii="Calibri" w:eastAsia="Calibri" w:hAnsi="Calibri" w:cs="Calibri"/>
          <w:color w:val="222222"/>
          <w:sz w:val="20"/>
          <w:szCs w:val="20"/>
          <w:highlight w:val="white"/>
        </w:rPr>
        <w:t>Throughout agencies' policies and systems, "moderate" and "medium" may be used interchangeably to describe the risk rating between low and significant".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02774A"/>
    <w:multiLevelType w:val="multilevel"/>
    <w:tmpl w:val="25D2611E"/>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F601E6"/>
    <w:multiLevelType w:val="multilevel"/>
    <w:tmpl w:val="2D04778C"/>
    <w:lvl w:ilvl="0">
      <w:start w:val="1"/>
      <w:numFmt w:val="bullet"/>
      <w:lvlText w:val="●"/>
      <w:lvlJc w:val="left"/>
      <w:pPr>
        <w:ind w:left="360" w:hanging="360"/>
      </w:pPr>
      <w:rPr>
        <w:rFonts w:ascii="Noto Sans Symbols" w:eastAsia="Noto Sans Symbols" w:hAnsi="Noto Sans Symbols" w:cs="Noto Sans Symbols"/>
        <w:color w:val="000000"/>
        <w:u w:val="none"/>
      </w:rPr>
    </w:lvl>
    <w:lvl w:ilvl="1">
      <w:start w:val="1"/>
      <w:numFmt w:val="bullet"/>
      <w:pStyle w:val="Heading1"/>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3"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003423"/>
    <w:multiLevelType w:val="multilevel"/>
    <w:tmpl w:val="CA269778"/>
    <w:lvl w:ilvl="0">
      <w:start w:val="1"/>
      <w:numFmt w:val="decimal"/>
      <w:pStyle w:val="ListNumber2"/>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5857298">
    <w:abstractNumId w:val="6"/>
  </w:num>
  <w:num w:numId="2" w16cid:durableId="292755840">
    <w:abstractNumId w:val="5"/>
  </w:num>
  <w:num w:numId="3" w16cid:durableId="522789878">
    <w:abstractNumId w:val="10"/>
  </w:num>
  <w:num w:numId="4" w16cid:durableId="1151214233">
    <w:abstractNumId w:val="8"/>
  </w:num>
  <w:num w:numId="5" w16cid:durableId="1993098102">
    <w:abstractNumId w:val="2"/>
  </w:num>
  <w:num w:numId="6" w16cid:durableId="1342119351">
    <w:abstractNumId w:val="7"/>
  </w:num>
  <w:num w:numId="7" w16cid:durableId="86538002">
    <w:abstractNumId w:val="3"/>
  </w:num>
  <w:num w:numId="8" w16cid:durableId="1408069629">
    <w:abstractNumId w:val="4"/>
  </w:num>
  <w:num w:numId="9" w16cid:durableId="928076504">
    <w:abstractNumId w:val="0"/>
  </w:num>
  <w:num w:numId="10" w16cid:durableId="966936965">
    <w:abstractNumId w:val="9"/>
  </w:num>
  <w:num w:numId="11" w16cid:durableId="450705020">
    <w:abstractNumId w:val="1"/>
  </w:num>
  <w:num w:numId="12" w16cid:durableId="2007052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223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513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E3"/>
    <w:rsid w:val="00071260"/>
    <w:rsid w:val="001734AA"/>
    <w:rsid w:val="00190C9A"/>
    <w:rsid w:val="00214049"/>
    <w:rsid w:val="00224C51"/>
    <w:rsid w:val="002962C3"/>
    <w:rsid w:val="002B27A7"/>
    <w:rsid w:val="002B3890"/>
    <w:rsid w:val="0032626F"/>
    <w:rsid w:val="003649D8"/>
    <w:rsid w:val="004463E3"/>
    <w:rsid w:val="005811F9"/>
    <w:rsid w:val="005A3CC9"/>
    <w:rsid w:val="005A740C"/>
    <w:rsid w:val="00780BBF"/>
    <w:rsid w:val="007833FA"/>
    <w:rsid w:val="00811885"/>
    <w:rsid w:val="00866C77"/>
    <w:rsid w:val="0089162B"/>
    <w:rsid w:val="009338D6"/>
    <w:rsid w:val="009515C6"/>
    <w:rsid w:val="00AB6ED9"/>
    <w:rsid w:val="00BD6FE8"/>
    <w:rsid w:val="00C53276"/>
    <w:rsid w:val="00CC7119"/>
    <w:rsid w:val="00DF0997"/>
    <w:rsid w:val="00E0083E"/>
    <w:rsid w:val="00E749D8"/>
    <w:rsid w:val="00F64822"/>
    <w:rsid w:val="00F85B2F"/>
    <w:rsid w:val="15DC0E5B"/>
    <w:rsid w:val="17813D5B"/>
    <w:rsid w:val="42AB9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EC19"/>
  <w15:docId w15:val="{F4574C63-7042-44C3-AE18-B7F80DFB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A7"/>
    <w:rPr>
      <w:color w:val="000000"/>
    </w:rPr>
  </w:style>
  <w:style w:type="paragraph" w:styleId="Heading1">
    <w:name w:val="heading 1"/>
    <w:basedOn w:val="Normal"/>
    <w:next w:val="Normal"/>
    <w:link w:val="Heading1Char"/>
    <w:uiPriority w:val="9"/>
    <w:qFormat/>
    <w:rsid w:val="003144A7"/>
    <w:pPr>
      <w:keepNext/>
      <w:numPr>
        <w:ilvl w:val="1"/>
        <w:numId w:val="5"/>
      </w:numPr>
      <w:spacing w:after="240"/>
      <w:outlineLvl w:val="0"/>
    </w:pPr>
    <w:rPr>
      <w:rFonts w:cs="Arial"/>
      <w:caps/>
      <w:sz w:val="28"/>
    </w:rPr>
  </w:style>
  <w:style w:type="paragraph" w:styleId="Heading2">
    <w:name w:val="heading 2"/>
    <w:basedOn w:val="Normal"/>
    <w:next w:val="Normal"/>
    <w:uiPriority w:val="9"/>
    <w:unhideWhenUsed/>
    <w:qFormat/>
    <w:pPr>
      <w:keepNext/>
      <w:spacing w:after="240"/>
      <w:outlineLvl w:val="1"/>
    </w:pPr>
    <w:rPr>
      <w:b/>
      <w:sz w:val="22"/>
    </w:rPr>
  </w:style>
  <w:style w:type="paragraph" w:styleId="Heading3">
    <w:name w:val="heading 3"/>
    <w:basedOn w:val="Normal"/>
    <w:next w:val="Normal"/>
    <w:uiPriority w:val="9"/>
    <w:semiHidden/>
    <w:unhideWhenUsed/>
    <w:qFormat/>
    <w:pPr>
      <w:keepNext/>
      <w:numPr>
        <w:ilvl w:val="2"/>
        <w:numId w:val="5"/>
      </w:numPr>
      <w:spacing w:after="240"/>
      <w:outlineLvl w:val="2"/>
    </w:pPr>
    <w:rPr>
      <w:i/>
      <w:sz w:val="22"/>
    </w:rPr>
  </w:style>
  <w:style w:type="paragraph" w:styleId="Heading4">
    <w:name w:val="heading 4"/>
    <w:basedOn w:val="Normal"/>
    <w:next w:val="Normal"/>
    <w:uiPriority w:val="9"/>
    <w:semiHidden/>
    <w:unhideWhenUsed/>
    <w:qFormat/>
    <w:pPr>
      <w:keepNext/>
      <w:numPr>
        <w:ilvl w:val="3"/>
        <w:numId w:val="5"/>
      </w:numPr>
      <w:outlineLvl w:val="3"/>
    </w:pPr>
    <w:rPr>
      <w:b/>
      <w:sz w:val="22"/>
    </w:rPr>
  </w:style>
  <w:style w:type="paragraph" w:styleId="Heading5">
    <w:name w:val="heading 5"/>
    <w:basedOn w:val="Normal"/>
    <w:next w:val="Normal"/>
    <w:uiPriority w:val="9"/>
    <w:semiHidden/>
    <w:unhideWhenUsed/>
    <w:qFormat/>
    <w:pPr>
      <w:numPr>
        <w:ilvl w:val="4"/>
        <w:numId w:val="5"/>
      </w:numPr>
      <w:outlineLvl w:val="4"/>
    </w:pPr>
  </w:style>
  <w:style w:type="paragraph" w:styleId="Heading6">
    <w:name w:val="heading 6"/>
    <w:basedOn w:val="Normal"/>
    <w:next w:val="Normal"/>
    <w:uiPriority w:val="9"/>
    <w:semiHidden/>
    <w:unhideWhenUsed/>
    <w:qFormat/>
    <w:pPr>
      <w:numPr>
        <w:ilvl w:val="5"/>
        <w:numId w:val="5"/>
      </w:numPr>
      <w:spacing w:before="240" w:after="60"/>
      <w:outlineLvl w:val="5"/>
    </w:pPr>
    <w:rPr>
      <w:b/>
      <w:bCs/>
      <w:sz w:val="22"/>
      <w:szCs w:val="22"/>
    </w:rPr>
  </w:style>
  <w:style w:type="paragraph" w:styleId="Heading7">
    <w:name w:val="heading 7"/>
    <w:basedOn w:val="Normal"/>
    <w:next w:val="Normal"/>
    <w:qFormat/>
    <w:pPr>
      <w:numPr>
        <w:ilvl w:val="6"/>
        <w:numId w:val="5"/>
      </w:numPr>
      <w:spacing w:before="240" w:after="60"/>
      <w:outlineLvl w:val="6"/>
    </w:pPr>
  </w:style>
  <w:style w:type="paragraph" w:styleId="Heading8">
    <w:name w:val="heading 8"/>
    <w:basedOn w:val="Normal"/>
    <w:next w:val="Normal"/>
    <w:qFormat/>
    <w:pPr>
      <w:numPr>
        <w:ilvl w:val="7"/>
        <w:numId w:val="5"/>
      </w:numPr>
      <w:spacing w:before="240" w:after="60"/>
      <w:outlineLvl w:val="7"/>
    </w:pPr>
    <w:rPr>
      <w:i/>
      <w:iCs/>
    </w:rPr>
  </w:style>
  <w:style w:type="paragraph" w:styleId="Heading9">
    <w:name w:val="heading 9"/>
    <w:basedOn w:val="Normal"/>
    <w:next w:val="Normal"/>
    <w:qFormat/>
    <w:pPr>
      <w:numPr>
        <w:ilvl w:val="8"/>
        <w:numId w:val="5"/>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Return">
    <w:name w:val="envelope return"/>
    <w:basedOn w:val="Normal"/>
  </w:style>
  <w:style w:type="paragraph" w:styleId="BodyText">
    <w:name w:val="Body Text"/>
    <w:basedOn w:val="Normal"/>
    <w:link w:val="BodyTextChar"/>
    <w:rsid w:val="003144A7"/>
    <w:pPr>
      <w:spacing w:after="120"/>
    </w:pPr>
  </w:style>
  <w:style w:type="paragraph" w:customStyle="1" w:styleId="ReportHead1">
    <w:name w:val="Report Head 1"/>
    <w:basedOn w:val="Normal"/>
    <w:next w:val="Normal"/>
    <w:pPr>
      <w:numPr>
        <w:numId w:val="3"/>
      </w:numPr>
      <w:spacing w:after="240"/>
      <w:outlineLvl w:val="0"/>
    </w:pPr>
    <w:rPr>
      <w:b/>
      <w:caps/>
    </w:rPr>
  </w:style>
  <w:style w:type="paragraph" w:styleId="ListNumber2">
    <w:name w:val="List Number 2"/>
    <w:basedOn w:val="Normal"/>
    <w:pPr>
      <w:numPr>
        <w:numId w:val="1"/>
      </w:numPr>
    </w:pPr>
  </w:style>
  <w:style w:type="paragraph" w:customStyle="1" w:styleId="ReportHead2">
    <w:name w:val="Report Head 2"/>
    <w:basedOn w:val="Normal"/>
    <w:next w:val="Normal"/>
    <w:pPr>
      <w:numPr>
        <w:ilvl w:val="1"/>
        <w:numId w:val="2"/>
      </w:numPr>
      <w:spacing w:after="240"/>
      <w:outlineLvl w:val="1"/>
    </w:pPr>
    <w:rPr>
      <w:b/>
    </w:rPr>
  </w:style>
  <w:style w:type="paragraph" w:customStyle="1" w:styleId="ReportHead3">
    <w:name w:val="Report Head 3"/>
    <w:basedOn w:val="Normal"/>
    <w:next w:val="Normal"/>
    <w:pPr>
      <w:numPr>
        <w:ilvl w:val="1"/>
        <w:numId w:val="3"/>
      </w:numPr>
      <w:spacing w:after="120"/>
      <w:outlineLvl w:val="1"/>
    </w:pPr>
  </w:style>
  <w:style w:type="paragraph" w:customStyle="1" w:styleId="ReportHead4">
    <w:name w:val="Report Head 4"/>
    <w:basedOn w:val="Normal"/>
    <w:pPr>
      <w:numPr>
        <w:ilvl w:val="2"/>
        <w:numId w:val="3"/>
      </w:numPr>
      <w:spacing w:after="120"/>
      <w:outlineLvl w:val="2"/>
    </w:pPr>
  </w:style>
  <w:style w:type="paragraph" w:styleId="EnvelopeAddress">
    <w:name w:val="envelope address"/>
    <w:basedOn w:val="Normal"/>
    <w:pPr>
      <w:framePr w:w="5041" w:hSpace="181" w:vSpace="181" w:wrap="around" w:vAnchor="page" w:hAnchor="page" w:x="2161" w:y="2881"/>
    </w:pPr>
  </w:style>
  <w:style w:type="paragraph" w:customStyle="1" w:styleId="ReportBodyText">
    <w:name w:val="Report Body Text"/>
    <w:basedOn w:val="Normal"/>
    <w:pPr>
      <w:spacing w:after="120"/>
    </w:pPr>
  </w:style>
  <w:style w:type="paragraph" w:customStyle="1" w:styleId="ReportHead5">
    <w:name w:val="Report Head 5"/>
    <w:basedOn w:val="Normal"/>
    <w:pPr>
      <w:numPr>
        <w:ilvl w:val="3"/>
        <w:numId w:val="3"/>
      </w:numPr>
      <w:spacing w:after="120"/>
      <w:outlineLvl w:val="3"/>
    </w:pPr>
  </w:style>
  <w:style w:type="paragraph" w:customStyle="1" w:styleId="ReportHead6">
    <w:name w:val="Report Head 6"/>
    <w:basedOn w:val="Normal"/>
    <w:pPr>
      <w:numPr>
        <w:ilvl w:val="4"/>
        <w:numId w:val="4"/>
      </w:numPr>
      <w:spacing w:after="120"/>
      <w:outlineLvl w:val="4"/>
    </w:pPr>
  </w:style>
  <w:style w:type="paragraph" w:customStyle="1" w:styleId="MSStandardLevel1">
    <w:name w:val="MS Standard Level 1"/>
    <w:basedOn w:val="Normal"/>
    <w:pPr>
      <w:numPr>
        <w:numId w:val="10"/>
      </w:numPr>
      <w:spacing w:after="120"/>
      <w:outlineLvl w:val="0"/>
    </w:pPr>
  </w:style>
  <w:style w:type="paragraph" w:customStyle="1" w:styleId="MSStandardLevel2">
    <w:name w:val="MS Standard Level 2"/>
    <w:basedOn w:val="Normal"/>
    <w:pPr>
      <w:numPr>
        <w:ilvl w:val="1"/>
        <w:numId w:val="10"/>
      </w:numPr>
      <w:spacing w:after="120"/>
      <w:outlineLvl w:val="1"/>
    </w:pPr>
  </w:style>
  <w:style w:type="paragraph" w:customStyle="1" w:styleId="MSStandardLevel3">
    <w:name w:val="MS Standard Level 3"/>
    <w:basedOn w:val="Normal"/>
    <w:pPr>
      <w:numPr>
        <w:ilvl w:val="2"/>
        <w:numId w:val="10"/>
      </w:numPr>
      <w:spacing w:after="120"/>
      <w:outlineLvl w:val="2"/>
    </w:pPr>
  </w:style>
  <w:style w:type="paragraph" w:customStyle="1" w:styleId="MSStandardLevel4">
    <w:name w:val="MS Standard Level 4"/>
    <w:basedOn w:val="Normal"/>
    <w:pPr>
      <w:numPr>
        <w:ilvl w:val="3"/>
        <w:numId w:val="10"/>
      </w:numPr>
      <w:spacing w:after="120"/>
      <w:outlineLvl w:val="3"/>
    </w:pPr>
  </w:style>
  <w:style w:type="paragraph" w:customStyle="1" w:styleId="MSStandardLevel5">
    <w:name w:val="MS Standard Level 5"/>
    <w:basedOn w:val="Normal"/>
    <w:pPr>
      <w:numPr>
        <w:ilvl w:val="4"/>
        <w:numId w:val="10"/>
      </w:numPr>
      <w:tabs>
        <w:tab w:val="left" w:pos="1134"/>
      </w:tabs>
      <w:spacing w:after="120"/>
      <w:outlineLvl w:val="4"/>
    </w:pPr>
  </w:style>
  <w:style w:type="paragraph" w:customStyle="1" w:styleId="MSStandardLevel6">
    <w:name w:val="MS Standard Level 6"/>
    <w:basedOn w:val="Normal"/>
    <w:pPr>
      <w:numPr>
        <w:ilvl w:val="5"/>
        <w:numId w:val="10"/>
      </w:numPr>
      <w:tabs>
        <w:tab w:val="left" w:pos="1134"/>
      </w:tabs>
      <w:spacing w:after="120"/>
      <w:outlineLvl w:val="5"/>
    </w:pPr>
  </w:style>
  <w:style w:type="paragraph" w:customStyle="1" w:styleId="MSStandardLevel7">
    <w:name w:val="MS Standard Level 7"/>
    <w:basedOn w:val="Normal"/>
    <w:pPr>
      <w:numPr>
        <w:ilvl w:val="6"/>
        <w:numId w:val="10"/>
      </w:numPr>
      <w:tabs>
        <w:tab w:val="left" w:pos="1418"/>
      </w:tabs>
      <w:spacing w:after="120"/>
      <w:outlineLvl w:val="6"/>
    </w:pPr>
  </w:style>
  <w:style w:type="paragraph" w:styleId="TOC1">
    <w:name w:val="toc 1"/>
    <w:basedOn w:val="Normal"/>
    <w:next w:val="Normal"/>
    <w:autoRedefine/>
    <w:uiPriority w:val="39"/>
  </w:style>
  <w:style w:type="paragraph" w:styleId="TOC2">
    <w:name w:val="toc 2"/>
    <w:basedOn w:val="Normal"/>
    <w:next w:val="Normal"/>
    <w:autoRedefine/>
    <w:uiPriority w:val="39"/>
  </w:style>
  <w:style w:type="paragraph" w:styleId="TOC3">
    <w:name w:val="toc 3"/>
    <w:basedOn w:val="Normal"/>
    <w:next w:val="Normal"/>
    <w:autoRedefine/>
    <w:semiHidden/>
  </w:style>
  <w:style w:type="paragraph" w:styleId="TOC4">
    <w:name w:val="toc 4"/>
    <w:basedOn w:val="Normal"/>
    <w:next w:val="Normal"/>
    <w:autoRedefine/>
    <w:semiHidden/>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MSHouseLevel1">
    <w:name w:val="MS House Level 1"/>
    <w:basedOn w:val="Normal"/>
    <w:pPr>
      <w:numPr>
        <w:numId w:val="6"/>
      </w:numPr>
      <w:spacing w:after="240"/>
      <w:outlineLvl w:val="0"/>
    </w:pPr>
    <w:rPr>
      <w:b/>
      <w:caps/>
      <w:sz w:val="22"/>
    </w:rPr>
  </w:style>
  <w:style w:type="paragraph" w:customStyle="1" w:styleId="MSHouseLevel2">
    <w:name w:val="MS House Level 2"/>
    <w:basedOn w:val="Normal"/>
    <w:pPr>
      <w:numPr>
        <w:ilvl w:val="1"/>
        <w:numId w:val="6"/>
      </w:numPr>
      <w:spacing w:after="120"/>
      <w:outlineLvl w:val="1"/>
    </w:pPr>
  </w:style>
  <w:style w:type="paragraph" w:customStyle="1" w:styleId="MSHouseLevel3">
    <w:name w:val="MS House Level 3"/>
    <w:basedOn w:val="Normal"/>
    <w:pPr>
      <w:numPr>
        <w:ilvl w:val="2"/>
        <w:numId w:val="6"/>
      </w:numPr>
      <w:spacing w:after="120"/>
      <w:outlineLvl w:val="2"/>
    </w:pPr>
  </w:style>
  <w:style w:type="paragraph" w:customStyle="1" w:styleId="MSHouseLevel4">
    <w:name w:val="MS House Level 4"/>
    <w:basedOn w:val="Normal"/>
    <w:pPr>
      <w:numPr>
        <w:ilvl w:val="3"/>
        <w:numId w:val="6"/>
      </w:numPr>
      <w:spacing w:after="120"/>
      <w:outlineLvl w:val="3"/>
    </w:pPr>
  </w:style>
  <w:style w:type="paragraph" w:customStyle="1" w:styleId="MSHouseLevel5">
    <w:name w:val="MS House Level 5"/>
    <w:basedOn w:val="Normal"/>
    <w:pPr>
      <w:numPr>
        <w:ilvl w:val="4"/>
        <w:numId w:val="6"/>
      </w:numPr>
      <w:spacing w:after="120"/>
      <w:outlineLvl w:val="4"/>
    </w:pPr>
  </w:style>
  <w:style w:type="paragraph" w:customStyle="1" w:styleId="MSHouseLevel6">
    <w:name w:val="MS House Level 6"/>
    <w:basedOn w:val="Normal"/>
    <w:pPr>
      <w:numPr>
        <w:ilvl w:val="5"/>
        <w:numId w:val="6"/>
      </w:numPr>
      <w:spacing w:after="120"/>
      <w:outlineLvl w:val="5"/>
    </w:pPr>
  </w:style>
  <w:style w:type="paragraph" w:customStyle="1" w:styleId="MSHouseLevel7">
    <w:name w:val="MS House Level 7"/>
    <w:basedOn w:val="Normal"/>
    <w:pPr>
      <w:numPr>
        <w:ilvl w:val="6"/>
        <w:numId w:val="6"/>
      </w:numPr>
      <w:spacing w:after="120"/>
      <w:outlineLvl w:val="6"/>
    </w:pPr>
  </w:style>
  <w:style w:type="character" w:styleId="Hyperlink">
    <w:name w:val="Hyperlink"/>
    <w:basedOn w:val="DefaultParagraphFont"/>
    <w:uiPriority w:val="99"/>
    <w:rPr>
      <w:color w:val="0000FF"/>
      <w:u w:val="single"/>
    </w:rPr>
  </w:style>
  <w:style w:type="paragraph" w:customStyle="1" w:styleId="MSLetterLevel1">
    <w:name w:val="MS Letter Level 1"/>
    <w:basedOn w:val="Normal"/>
    <w:pPr>
      <w:numPr>
        <w:numId w:val="7"/>
      </w:numPr>
      <w:spacing w:after="120"/>
    </w:pPr>
  </w:style>
  <w:style w:type="paragraph" w:customStyle="1" w:styleId="MSLetterLevel2">
    <w:name w:val="MS Letter Level 2"/>
    <w:basedOn w:val="MSLetterLevel1"/>
    <w:pPr>
      <w:numPr>
        <w:ilvl w:val="1"/>
      </w:numPr>
    </w:pPr>
  </w:style>
  <w:style w:type="paragraph" w:customStyle="1" w:styleId="MSLetterLevel3">
    <w:name w:val="MS Letter Level 3"/>
    <w:basedOn w:val="MSLetterLevel2"/>
    <w:pPr>
      <w:numPr>
        <w:ilvl w:val="2"/>
      </w:numPr>
      <w:tabs>
        <w:tab w:val="left" w:pos="1134"/>
      </w:tabs>
    </w:pPr>
  </w:style>
  <w:style w:type="paragraph" w:customStyle="1" w:styleId="MSBulletLevel1">
    <w:name w:val="MS Bullet Level 1"/>
    <w:basedOn w:val="Normal"/>
    <w:pPr>
      <w:numPr>
        <w:numId w:val="8"/>
      </w:numPr>
      <w:spacing w:after="120"/>
    </w:pPr>
  </w:style>
  <w:style w:type="paragraph" w:customStyle="1" w:styleId="MSBulletLevel2">
    <w:name w:val="MS Bullet Level 2"/>
    <w:basedOn w:val="Normal"/>
    <w:pPr>
      <w:numPr>
        <w:ilvl w:val="1"/>
        <w:numId w:val="9"/>
      </w:numPr>
      <w:spacing w:after="120"/>
    </w:pPr>
  </w:style>
  <w:style w:type="paragraph" w:customStyle="1" w:styleId="MSBulletLevel3">
    <w:name w:val="MS Bullet Level 3"/>
    <w:basedOn w:val="Normal"/>
    <w:pPr>
      <w:numPr>
        <w:ilvl w:val="2"/>
        <w:numId w:val="9"/>
      </w:numPr>
      <w:spacing w:after="120"/>
    </w:pPr>
  </w:style>
  <w:style w:type="paragraph" w:customStyle="1" w:styleId="Bullet">
    <w:name w:val="Bullet"/>
    <w:basedOn w:val="Normal"/>
    <w:qFormat/>
    <w:rsid w:val="00940146"/>
    <w:pPr>
      <w:numPr>
        <w:numId w:val="11"/>
      </w:numPr>
      <w:spacing w:before="40" w:after="80" w:line="280" w:lineRule="atLeast"/>
    </w:pPr>
  </w:style>
  <w:style w:type="paragraph" w:styleId="ListBullet">
    <w:name w:val="List Bullet"/>
    <w:basedOn w:val="Normal"/>
    <w:autoRedefine/>
    <w:rsid w:val="00940146"/>
    <w:pPr>
      <w:tabs>
        <w:tab w:val="num" w:pos="720"/>
      </w:tabs>
      <w:ind w:left="720" w:hanging="720"/>
    </w:pPr>
    <w:rPr>
      <w:rFonts w:ascii="Arial" w:hAnsi="Arial"/>
      <w:szCs w:val="20"/>
      <w:lang w:val="sv-SE"/>
    </w:rPr>
  </w:style>
  <w:style w:type="paragraph" w:customStyle="1" w:styleId="BT1">
    <w:name w:val="BT 1"/>
    <w:basedOn w:val="Normal"/>
    <w:qFormat/>
    <w:rsid w:val="00940146"/>
    <w:pPr>
      <w:spacing w:after="200"/>
    </w:pPr>
    <w:rPr>
      <w:lang w:bidi="th-TH"/>
    </w:rPr>
  </w:style>
  <w:style w:type="paragraph" w:customStyle="1" w:styleId="TableT">
    <w:name w:val="Table T"/>
    <w:basedOn w:val="BT1"/>
    <w:qFormat/>
    <w:rsid w:val="00940146"/>
    <w:pPr>
      <w:spacing w:after="100"/>
      <w:jc w:val="left"/>
    </w:pPr>
    <w:rPr>
      <w:sz w:val="20"/>
      <w:szCs w:val="20"/>
    </w:rPr>
  </w:style>
  <w:style w:type="paragraph" w:customStyle="1" w:styleId="BodyText1">
    <w:name w:val="Body Text1"/>
    <w:basedOn w:val="Normal"/>
    <w:qFormat/>
    <w:rsid w:val="003144A7"/>
  </w:style>
  <w:style w:type="table" w:styleId="TableGrid">
    <w:name w:val="Table Grid"/>
    <w:basedOn w:val="TableNormal"/>
    <w:uiPriority w:val="59"/>
    <w:rsid w:val="00940146"/>
    <w:rPr>
      <w:rFonts w:ascii="Univers 45 Light" w:hAnsi="Univers 45 Light"/>
      <w:lang w:val="en-US" w:eastAsia="zh-CN"/>
    </w:rPr>
    <w:tblPr/>
  </w:style>
  <w:style w:type="paragraph" w:customStyle="1" w:styleId="Numberedbullet">
    <w:name w:val="Numbered bullet"/>
    <w:basedOn w:val="Normal"/>
    <w:rsid w:val="00940146"/>
    <w:pPr>
      <w:tabs>
        <w:tab w:val="num" w:pos="720"/>
      </w:tabs>
      <w:spacing w:after="200" w:line="280" w:lineRule="atLeast"/>
      <w:ind w:left="360" w:hanging="720"/>
    </w:pPr>
    <w:rPr>
      <w:rFonts w:ascii="Arial" w:hAnsi="Arial" w:cs="Arial"/>
      <w:sz w:val="22"/>
    </w:rPr>
  </w:style>
  <w:style w:type="paragraph" w:customStyle="1" w:styleId="Alphabullet">
    <w:name w:val="Alpha bullet"/>
    <w:basedOn w:val="Numberedbullet"/>
    <w:rsid w:val="00940146"/>
    <w:pPr>
      <w:numPr>
        <w:ilvl w:val="1"/>
      </w:numPr>
      <w:tabs>
        <w:tab w:val="num" w:pos="720"/>
      </w:tabs>
      <w:ind w:left="576" w:hanging="288"/>
    </w:pPr>
  </w:style>
  <w:style w:type="character" w:customStyle="1" w:styleId="BodyTextChar">
    <w:name w:val="Body Text Char"/>
    <w:basedOn w:val="DefaultParagraphFont"/>
    <w:link w:val="BodyText"/>
    <w:rsid w:val="00940146"/>
    <w:rPr>
      <w:color w:val="000000"/>
      <w:sz w:val="24"/>
      <w:szCs w:val="24"/>
    </w:rPr>
  </w:style>
  <w:style w:type="paragraph" w:customStyle="1" w:styleId="Head3">
    <w:name w:val="Head 3"/>
    <w:basedOn w:val="BT1"/>
    <w:qFormat/>
    <w:rsid w:val="00940146"/>
    <w:pPr>
      <w:keepNext/>
      <w:spacing w:after="160"/>
    </w:pPr>
    <w:rPr>
      <w:b/>
      <w:i/>
    </w:rPr>
  </w:style>
  <w:style w:type="character" w:customStyle="1" w:styleId="Heading1Char">
    <w:name w:val="Heading 1 Char"/>
    <w:basedOn w:val="DefaultParagraphFont"/>
    <w:link w:val="Heading1"/>
    <w:rsid w:val="00940146"/>
    <w:rPr>
      <w:rFonts w:cs="Arial"/>
      <w:caps/>
      <w:color w:val="000000"/>
      <w:sz w:val="28"/>
      <w:szCs w:val="24"/>
    </w:rPr>
  </w:style>
  <w:style w:type="paragraph" w:styleId="BalloonText">
    <w:name w:val="Balloon Text"/>
    <w:basedOn w:val="Normal"/>
    <w:link w:val="BalloonTextChar"/>
    <w:rsid w:val="00A0697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A0697E"/>
    <w:rPr>
      <w:rFonts w:ascii="Lucida Grande" w:hAnsi="Lucida Grande" w:cs="Lucida Grande"/>
      <w:color w:val="000000"/>
      <w:sz w:val="18"/>
      <w:szCs w:val="18"/>
    </w:rPr>
  </w:style>
  <w:style w:type="character" w:styleId="CommentReference">
    <w:name w:val="annotation reference"/>
    <w:basedOn w:val="DefaultParagraphFont"/>
    <w:rsid w:val="003B251A"/>
    <w:rPr>
      <w:sz w:val="18"/>
      <w:szCs w:val="18"/>
    </w:rPr>
  </w:style>
  <w:style w:type="paragraph" w:styleId="CommentText">
    <w:name w:val="annotation text"/>
    <w:basedOn w:val="Normal"/>
    <w:link w:val="CommentTextChar"/>
    <w:rsid w:val="003B251A"/>
  </w:style>
  <w:style w:type="character" w:customStyle="1" w:styleId="CommentTextChar">
    <w:name w:val="Comment Text Char"/>
    <w:basedOn w:val="DefaultParagraphFont"/>
    <w:link w:val="CommentText"/>
    <w:rsid w:val="003B251A"/>
    <w:rPr>
      <w:color w:val="000000"/>
      <w:sz w:val="24"/>
      <w:szCs w:val="24"/>
    </w:rPr>
  </w:style>
  <w:style w:type="paragraph" w:styleId="CommentSubject">
    <w:name w:val="annotation subject"/>
    <w:basedOn w:val="CommentText"/>
    <w:next w:val="CommentText"/>
    <w:link w:val="CommentSubjectChar"/>
    <w:rsid w:val="003B251A"/>
    <w:rPr>
      <w:b/>
      <w:bCs/>
      <w:sz w:val="20"/>
      <w:szCs w:val="20"/>
    </w:rPr>
  </w:style>
  <w:style w:type="character" w:customStyle="1" w:styleId="CommentSubjectChar">
    <w:name w:val="Comment Subject Char"/>
    <w:basedOn w:val="CommentTextChar"/>
    <w:link w:val="CommentSubject"/>
    <w:rsid w:val="003B251A"/>
    <w:rPr>
      <w:b/>
      <w:bCs/>
      <w:color w:val="000000"/>
      <w:sz w:val="24"/>
      <w:szCs w:val="24"/>
    </w:rPr>
  </w:style>
  <w:style w:type="paragraph" w:styleId="ListParagraph">
    <w:name w:val="List Paragraph"/>
    <w:basedOn w:val="Normal"/>
    <w:uiPriority w:val="34"/>
    <w:qFormat/>
    <w:rsid w:val="00641667"/>
    <w:pPr>
      <w:spacing w:after="160" w:line="256" w:lineRule="auto"/>
      <w:ind w:left="720"/>
      <w:contextualSpacing/>
      <w:jc w:val="left"/>
    </w:pPr>
    <w:rPr>
      <w:rFonts w:asciiTheme="minorHAnsi" w:eastAsiaTheme="minorHAnsi" w:hAnsiTheme="minorHAnsi" w:cstheme="minorBidi"/>
      <w:color w:val="auto"/>
      <w:sz w:val="22"/>
      <w:szCs w:val="22"/>
      <w:lang w:val="en-US" w:eastAsia="en-US"/>
    </w:rPr>
  </w:style>
  <w:style w:type="paragraph" w:styleId="TOCHeading">
    <w:name w:val="TOC Heading"/>
    <w:basedOn w:val="Heading1"/>
    <w:next w:val="Normal"/>
    <w:uiPriority w:val="39"/>
    <w:unhideWhenUsed/>
    <w:qFormat/>
    <w:rsid w:val="00641667"/>
    <w:pPr>
      <w:keepLines/>
      <w:numPr>
        <w:ilvl w:val="0"/>
        <w:numId w:val="0"/>
      </w:numPr>
      <w:spacing w:before="240" w:after="0" w:line="256" w:lineRule="auto"/>
      <w:jc w:val="left"/>
      <w:outlineLvl w:val="9"/>
    </w:pPr>
    <w:rPr>
      <w:rFonts w:asciiTheme="majorHAnsi" w:eastAsiaTheme="majorEastAsia" w:hAnsiTheme="majorHAnsi" w:cstheme="majorBidi"/>
      <w:caps w:val="0"/>
      <w:color w:val="365F91" w:themeColor="accent1" w:themeShade="BF"/>
      <w:sz w:val="32"/>
      <w:szCs w:val="32"/>
      <w:lang w:val="en-US" w:eastAsia="en-US"/>
    </w:rPr>
  </w:style>
  <w:style w:type="paragraph" w:customStyle="1" w:styleId="Tablehd">
    <w:name w:val="Table hd"/>
    <w:basedOn w:val="TableT"/>
    <w:qFormat/>
    <w:rsid w:val="00641667"/>
    <w:pPr>
      <w:spacing w:before="20" w:after="20"/>
      <w:jc w:val="center"/>
    </w:pPr>
    <w:rPr>
      <w:b/>
    </w:rPr>
  </w:style>
  <w:style w:type="paragraph" w:customStyle="1" w:styleId="Tabletext">
    <w:name w:val="Table text"/>
    <w:rsid w:val="00983FB5"/>
    <w:pPr>
      <w:spacing w:before="40" w:line="240" w:lineRule="atLeast"/>
    </w:pPr>
    <w:rPr>
      <w:rFonts w:ascii="Calibri" w:eastAsia="Univers 45 Light" w:hAnsi="Calibri" w:cs="Arial"/>
      <w:b/>
      <w:bCs/>
      <w:color w:val="000000"/>
    </w:rPr>
  </w:style>
  <w:style w:type="paragraph" w:customStyle="1" w:styleId="Bodytext-indendedafterbullet">
    <w:name w:val="Body text - indended after bullet"/>
    <w:basedOn w:val="BodyText1"/>
    <w:rsid w:val="00160F35"/>
    <w:pPr>
      <w:spacing w:after="120"/>
      <w:ind w:left="360"/>
    </w:pPr>
  </w:style>
  <w:style w:type="paragraph" w:styleId="Header">
    <w:name w:val="header"/>
    <w:basedOn w:val="Normal"/>
    <w:link w:val="HeaderChar"/>
    <w:unhideWhenUsed/>
    <w:rsid w:val="00AD5A55"/>
    <w:pPr>
      <w:tabs>
        <w:tab w:val="center" w:pos="4680"/>
        <w:tab w:val="right" w:pos="9360"/>
      </w:tabs>
      <w:spacing w:after="0"/>
    </w:pPr>
  </w:style>
  <w:style w:type="character" w:customStyle="1" w:styleId="HeaderChar">
    <w:name w:val="Header Char"/>
    <w:basedOn w:val="DefaultParagraphFont"/>
    <w:link w:val="Header"/>
    <w:rsid w:val="00AD5A55"/>
    <w:rPr>
      <w:color w:val="000000"/>
      <w:sz w:val="24"/>
      <w:szCs w:val="24"/>
    </w:rPr>
  </w:style>
  <w:style w:type="paragraph" w:styleId="Footer">
    <w:name w:val="footer"/>
    <w:basedOn w:val="Normal"/>
    <w:link w:val="FooterChar"/>
    <w:uiPriority w:val="99"/>
    <w:unhideWhenUsed/>
    <w:rsid w:val="00AD5A55"/>
    <w:pPr>
      <w:tabs>
        <w:tab w:val="center" w:pos="4680"/>
        <w:tab w:val="right" w:pos="9360"/>
      </w:tabs>
      <w:spacing w:after="0"/>
    </w:pPr>
  </w:style>
  <w:style w:type="character" w:customStyle="1" w:styleId="FooterChar">
    <w:name w:val="Footer Char"/>
    <w:basedOn w:val="DefaultParagraphFont"/>
    <w:link w:val="Footer"/>
    <w:uiPriority w:val="99"/>
    <w:rsid w:val="00AD5A55"/>
    <w:rPr>
      <w:color w:val="000000"/>
      <w:sz w:val="24"/>
      <w:szCs w:val="24"/>
    </w:rPr>
  </w:style>
  <w:style w:type="paragraph" w:styleId="FootnoteText">
    <w:name w:val="footnote text"/>
    <w:basedOn w:val="Normal"/>
    <w:link w:val="FootnoteTextChar"/>
    <w:semiHidden/>
    <w:unhideWhenUsed/>
    <w:rsid w:val="00A06DB2"/>
    <w:pPr>
      <w:spacing w:after="0"/>
    </w:pPr>
    <w:rPr>
      <w:sz w:val="20"/>
      <w:szCs w:val="20"/>
    </w:rPr>
  </w:style>
  <w:style w:type="character" w:customStyle="1" w:styleId="FootnoteTextChar">
    <w:name w:val="Footnote Text Char"/>
    <w:basedOn w:val="DefaultParagraphFont"/>
    <w:link w:val="FootnoteText"/>
    <w:semiHidden/>
    <w:rsid w:val="00A06DB2"/>
    <w:rPr>
      <w:color w:val="000000"/>
    </w:rPr>
  </w:style>
  <w:style w:type="character" w:styleId="FootnoteReference">
    <w:name w:val="footnote reference"/>
    <w:basedOn w:val="DefaultParagraphFont"/>
    <w:semiHidden/>
    <w:unhideWhenUsed/>
    <w:rsid w:val="00A06DB2"/>
    <w:rPr>
      <w:vertAlign w:val="superscript"/>
    </w:rPr>
  </w:style>
  <w:style w:type="paragraph" w:styleId="Revision">
    <w:name w:val="Revision"/>
    <w:hidden/>
    <w:uiPriority w:val="99"/>
    <w:semiHidden/>
    <w:rsid w:val="003144A7"/>
    <w:rPr>
      <w:color w:val="000000"/>
    </w:rPr>
  </w:style>
  <w:style w:type="table" w:styleId="TableGridLight">
    <w:name w:val="Grid Table Light"/>
    <w:basedOn w:val="TableNormal"/>
    <w:uiPriority w:val="40"/>
    <w:rsid w:val="00F64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1">
    <w:name w:val="Current List1"/>
    <w:uiPriority w:val="99"/>
    <w:rsid w:val="009276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Light" w:eastAsia="Open Sans Light" w:hAnsi="Open Sans Light" w:cs="Open Sans Light"/>
    </w:rPr>
    <w:tblPr>
      <w:tblStyleRowBandSize w:val="1"/>
      <w:tblStyleColBandSize w:val="1"/>
      <w:tblCellMar>
        <w:left w:w="72" w:type="dxa"/>
        <w:right w:w="72" w:type="dxa"/>
      </w:tblCellMar>
    </w:tblPr>
  </w:style>
  <w:style w:type="table" w:customStyle="1" w:styleId="a0">
    <w:basedOn w:val="TableNormal"/>
    <w:rPr>
      <w:rFonts w:ascii="Open Sans Light" w:eastAsia="Open Sans Light" w:hAnsi="Open Sans Light" w:cs="Open Sans Light"/>
    </w:rPr>
    <w:tblPr>
      <w:tblStyleRowBandSize w:val="1"/>
      <w:tblStyleColBandSize w:val="1"/>
    </w:tblPr>
  </w:style>
  <w:style w:type="table" w:customStyle="1" w:styleId="a1">
    <w:basedOn w:val="TableNormal"/>
    <w:rPr>
      <w:rFonts w:ascii="Open Sans Light" w:eastAsia="Open Sans Light" w:hAnsi="Open Sans Light" w:cs="Open Sans Light"/>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72" w:type="dxa"/>
        <w:left w:w="72" w:type="dxa"/>
        <w:bottom w:w="72" w:type="dxa"/>
        <w:right w:w="72" w:type="dxa"/>
      </w:tblCellMar>
    </w:tblPr>
  </w:style>
  <w:style w:type="table" w:customStyle="1" w:styleId="a4">
    <w:basedOn w:val="TableNormal"/>
    <w:tblPr>
      <w:tblStyleRowBandSize w:val="1"/>
      <w:tblStyleColBandSize w:val="1"/>
      <w:tblCellMar>
        <w:top w:w="28" w:type="dxa"/>
        <w:left w:w="85" w:type="dxa"/>
        <w:bottom w:w="57" w:type="dxa"/>
        <w:right w:w="85" w:type="dxa"/>
      </w:tblCellMar>
    </w:tblPr>
  </w:style>
  <w:style w:type="table" w:customStyle="1" w:styleId="a5">
    <w:basedOn w:val="TableNormal"/>
    <w:rPr>
      <w:rFonts w:ascii="Open Sans Light" w:eastAsia="Open Sans Light" w:hAnsi="Open Sans Light" w:cs="Open Sans Light"/>
    </w:rPr>
    <w:tblPr>
      <w:tblStyleRowBandSize w:val="1"/>
      <w:tblStyleColBandSize w:val="1"/>
      <w:tblCellMar>
        <w:top w:w="72" w:type="dxa"/>
        <w:left w:w="72" w:type="dxa"/>
        <w:bottom w:w="72" w:type="dxa"/>
        <w:right w:w="72" w:type="dxa"/>
      </w:tblCellMar>
    </w:tblPr>
  </w:style>
  <w:style w:type="table" w:customStyle="1" w:styleId="a6">
    <w:basedOn w:val="TableNormal"/>
    <w:rPr>
      <w:rFonts w:ascii="Open Sans Light" w:eastAsia="Open Sans Light" w:hAnsi="Open Sans Light" w:cs="Open Sans Light"/>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atSQZIxLRfgoIMwDqbwCn0Nnh8Q==">AMUW2mXSVsIWDB92IoSboyPDeDZWiazpQBcV4xtzJOOEgv81tEg2jTO6i07ivMpbAoslZHxEFA/DDGxI2jRPhtK9/hC/t2aGqm5r73W25EWQJdfq44/HeF9smNG1LnU01tHiEyys8JB9sgR1Gt2zS2XFn8TkF0FcWA==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2_ToR for Partner capacity_Micro assessment.docx</OriginalFileName>
    <OriginalNegotiationId xmlns="e3444403-f3ee-4177-94fe-65e1cbd0c3f2">300003955125252</OriginalNegotiationId>
    <_dlc_DocId xmlns="45e793ef-0031-4b09-a8ac-54742f93ccb1">UNDPPUBDOCS-2047177221-1647072</_dlc_DocId>
    <_dlc_DocIdUrl xmlns="45e793ef-0031-4b09-a8ac-54742f93ccb1">
      <Url>https://undp.sharepoint.com/sites/Docs-Public/_layouts/15/DocIdRedir.aspx?ID=UNDPPUBDOCS-2047177221-1647072</Url>
      <Description>UNDPPUBDOCS-2047177221-1647072</Description>
    </_dlc_DocIdUrl>
    <Token xmlns="e3444403-f3ee-4177-94fe-65e1cbd0c3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27B4D2-E43D-43C7-A645-57A1EF87409A}"/>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61BB410-8231-4736-8902-B71CDF931B02}">
  <ds:schemaRefs>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http://purl.org/dc/dcmitype/"/>
    <ds:schemaRef ds:uri="ba1d5b28-7d38-49f6-a277-547b77f47852"/>
    <ds:schemaRef ds:uri="http://schemas.microsoft.com/office/2006/metadata/properties"/>
    <ds:schemaRef ds:uri="http://schemas.microsoft.com/office/infopath/2007/PartnerControls"/>
    <ds:schemaRef ds:uri="afefc342-68fb-448d-a578-b529d23e4fd0"/>
  </ds:schemaRefs>
</ds:datastoreItem>
</file>

<file path=customXml/itemProps4.xml><?xml version="1.0" encoding="utf-8"?>
<ds:datastoreItem xmlns:ds="http://schemas.openxmlformats.org/officeDocument/2006/customXml" ds:itemID="{482AF4AD-0B2E-4B97-B328-09662B932D15}">
  <ds:schemaRefs>
    <ds:schemaRef ds:uri="http://schemas.microsoft.com/sharepoint/v3/contenttype/forms"/>
  </ds:schemaRefs>
</ds:datastoreItem>
</file>

<file path=customXml/itemProps5.xml><?xml version="1.0" encoding="utf-8"?>
<ds:datastoreItem xmlns:ds="http://schemas.openxmlformats.org/officeDocument/2006/customXml" ds:itemID="{39358700-4128-4160-86A2-5EE872B1C788}"/>
</file>

<file path=docProps/app.xml><?xml version="1.0" encoding="utf-8"?>
<Properties xmlns="http://schemas.openxmlformats.org/officeDocument/2006/extended-properties" xmlns:vt="http://schemas.openxmlformats.org/officeDocument/2006/docPropsVTypes">
  <Template>Normal.dotm</Template>
  <TotalTime>0</TotalTime>
  <Pages>15</Pages>
  <Words>2673</Words>
  <Characters>15239</Characters>
  <Application>Microsoft Office Word</Application>
  <DocSecurity>4</DocSecurity>
  <Lines>126</Lines>
  <Paragraphs>35</Paragraphs>
  <ScaleCrop>false</ScaleCrop>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Henderson</dc:creator>
  <cp:keywords/>
  <cp:lastModifiedBy>Cristina Gnaciuc</cp:lastModifiedBy>
  <cp:revision>2</cp:revision>
  <dcterms:created xsi:type="dcterms:W3CDTF">2026-03-24T12:32:00Z</dcterms:created>
  <dcterms:modified xsi:type="dcterms:W3CDTF">2026-03-24T12:32:00Z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84c4b94c-d7e6-4fc6-987c-5b093b14131c</vt:lpwstr>
  </property>
  <property fmtid="{D5CDD505-2E9C-101B-9397-08002B2CF9AE}" pid="6" name="Order">
    <vt:r8>164707200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