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96CCE" w14:textId="563EA20E" w:rsidR="003906A8" w:rsidRDefault="101E9041">
      <w:pPr>
        <w:jc w:val="right"/>
      </w:pPr>
      <w:r w:rsidRPr="101E9041">
        <w:rPr>
          <w:b/>
          <w:bCs/>
          <w:sz w:val="28"/>
          <w:szCs w:val="28"/>
        </w:rPr>
        <w:t>ANNEX 1 to the RFP</w:t>
      </w:r>
    </w:p>
    <w:p w14:paraId="672A6659" w14:textId="77777777" w:rsidR="003906A8" w:rsidRDefault="003906A8">
      <w:pPr>
        <w:jc w:val="center"/>
        <w:rPr>
          <w:b/>
          <w:sz w:val="28"/>
        </w:rPr>
      </w:pPr>
    </w:p>
    <w:p w14:paraId="6C1501EF" w14:textId="1B06A77F" w:rsidR="003906A8" w:rsidRDefault="00692038">
      <w:pPr>
        <w:jc w:val="center"/>
      </w:pPr>
      <w:r>
        <w:rPr>
          <w:b/>
          <w:sz w:val="28"/>
        </w:rPr>
        <w:t>PROPOSAL</w:t>
      </w:r>
      <w:r w:rsidR="008F5A93">
        <w:rPr>
          <w:b/>
          <w:sz w:val="28"/>
        </w:rPr>
        <w:t xml:space="preserve"> COMPLIANCE CHECKLIST MATRIX</w:t>
      </w:r>
    </w:p>
    <w:p w14:paraId="0A37501D" w14:textId="77777777" w:rsidR="003906A8" w:rsidRDefault="003906A8"/>
    <w:p w14:paraId="13A41CFB" w14:textId="7FBFAE73" w:rsidR="003906A8" w:rsidRDefault="008F5A93" w:rsidP="00960B4B">
      <w:pPr>
        <w:spacing w:after="240"/>
      </w:pPr>
      <w:r>
        <w:rPr>
          <w:rFonts w:cstheme="minorHAnsi"/>
        </w:rPr>
        <w:t>The Offer compliance checklist matrix must be submitted by the Bidder as a separate document in accordance with compliance to all functional and non-functional requirements of the ToR, duly filled in with evidence and references for proper evaluation.</w:t>
      </w:r>
      <w:r>
        <w:br/>
      </w:r>
      <w:r>
        <w:br/>
        <w:t>This checklist covers Functional Requirements (FR)</w:t>
      </w:r>
      <w:r w:rsidR="000B377E">
        <w:t xml:space="preserve"> and</w:t>
      </w:r>
      <w:r>
        <w:t xml:space="preserve"> Non-Functional Requirements (NFR) as defined in Section 5 (Terms of Reference) of the RFP for the </w:t>
      </w:r>
      <w:r w:rsidR="004D341F">
        <w:t xml:space="preserve">Software Development Services for the </w:t>
      </w:r>
      <w:r w:rsidR="001C1B16">
        <w:t>D</w:t>
      </w:r>
      <w:r w:rsidR="004D341F">
        <w:t>evelopment of the Data Warehouse System for the Ministry of Labour and Social Protection</w:t>
      </w:r>
      <w:r w:rsidR="00B533B1">
        <w:t>.</w:t>
      </w:r>
    </w:p>
    <w:p w14:paraId="60F47145" w14:textId="77777777" w:rsidR="00DE3F81" w:rsidRDefault="00DE3F81" w:rsidP="00960B4B">
      <w:pPr>
        <w:spacing w:after="240"/>
      </w:pPr>
    </w:p>
    <w:p w14:paraId="699391D6" w14:textId="060E6AA5" w:rsidR="00F65D9E" w:rsidRPr="00F65D9E" w:rsidRDefault="00F65D9E" w:rsidP="00F65D9E">
      <w:pPr>
        <w:pStyle w:val="Heading2"/>
        <w:rPr>
          <w:rFonts w:cstheme="minorHAnsi"/>
          <w:szCs w:val="20"/>
          <w:lang w:val="en-GB"/>
        </w:rPr>
      </w:pPr>
      <w:r w:rsidRPr="00DE3F81">
        <w:rPr>
          <w:rFonts w:eastAsia="Times New Roman" w:cs="Times New Roman"/>
          <w:szCs w:val="20"/>
          <w:lang w:val="en-GB"/>
        </w:rPr>
        <w:t xml:space="preserve">FUNCTIONAL REQUIREMENTS </w:t>
      </w:r>
    </w:p>
    <w:p w14:paraId="66AD70A9" w14:textId="77777777" w:rsidR="008C74A3" w:rsidRPr="00DE3F81" w:rsidRDefault="008C74A3" w:rsidP="00DE3F81">
      <w:pPr>
        <w:pStyle w:val="Heading3"/>
        <w:rPr>
          <w:color w:val="243F60" w:themeColor="accent1" w:themeShade="7F"/>
          <w:sz w:val="24"/>
          <w:szCs w:val="28"/>
          <w:lang w:val="en-GB"/>
        </w:rPr>
      </w:pPr>
      <w:bookmarkStart w:id="0" w:name="_Toc236911024"/>
      <w:r w:rsidRPr="00DE3F81">
        <w:rPr>
          <w:color w:val="243F60" w:themeColor="accent1" w:themeShade="7F"/>
          <w:sz w:val="24"/>
          <w:szCs w:val="28"/>
          <w:lang w:val="en-GB"/>
        </w:rPr>
        <w:t>1. Source Onboarding</w:t>
      </w:r>
      <w:bookmarkEnd w:id="0"/>
    </w:p>
    <w:p w14:paraId="31067FF9" w14:textId="77777777" w:rsidR="00C16C4B" w:rsidRPr="00DE3F81" w:rsidRDefault="00C16C4B" w:rsidP="00C16C4B">
      <w:pPr>
        <w:rPr>
          <w:bCs/>
          <w:color w:val="232425"/>
          <w:lang w:val="en-GB"/>
        </w:rPr>
      </w:pPr>
      <w:r w:rsidRPr="00DE3F81">
        <w:rPr>
          <w:b/>
          <w:color w:val="232425"/>
          <w:lang w:val="en-GB"/>
        </w:rPr>
        <w:t xml:space="preserve">Procedure name: </w:t>
      </w:r>
      <w:r w:rsidRPr="00DE3F81">
        <w:rPr>
          <w:bCs/>
          <w:color w:val="232425"/>
          <w:lang w:val="en-GB"/>
        </w:rPr>
        <w:t>Onboarding of source systems into the Bronze layer</w:t>
      </w:r>
    </w:p>
    <w:p w14:paraId="61683504" w14:textId="77777777" w:rsidR="00C16C4B" w:rsidRPr="00DE3F81" w:rsidRDefault="00C16C4B" w:rsidP="00C16C4B">
      <w:pPr>
        <w:rPr>
          <w:bCs/>
          <w:color w:val="232425"/>
          <w:lang w:val="en-GB"/>
        </w:rPr>
      </w:pPr>
      <w:r w:rsidRPr="00DE3F81">
        <w:rPr>
          <w:b/>
          <w:color w:val="232425"/>
          <w:lang w:val="en-GB"/>
        </w:rPr>
        <w:t xml:space="preserve">Description: </w:t>
      </w:r>
      <w:r w:rsidRPr="00DE3F81">
        <w:rPr>
          <w:bCs/>
          <w:color w:val="232425"/>
          <w:lang w:val="en-GB"/>
        </w:rPr>
        <w:t>The process by which the Contractor connects each of the 11 active source systems and the eSocial Audit database to the DWH, applies the appropriate extraction tier, and lands raw data into the Bronze layer with full audit metadata.</w:t>
      </w:r>
    </w:p>
    <w:p w14:paraId="7DE84906" w14:textId="77777777" w:rsidR="00690C20" w:rsidRPr="00DE3F81" w:rsidRDefault="00690C20" w:rsidP="00690C20">
      <w:pPr>
        <w:rPr>
          <w:b/>
          <w:color w:val="232425"/>
          <w:lang w:val="en-GB"/>
        </w:rPr>
      </w:pPr>
      <w:r w:rsidRPr="00DE3F81">
        <w:rPr>
          <w:b/>
          <w:color w:val="232425"/>
          <w:lang w:val="en-GB"/>
        </w:rPr>
        <w:t>List of functional requirements:</w:t>
      </w:r>
    </w:p>
    <w:tbl>
      <w:tblPr>
        <w:tblStyle w:val="TableGrid"/>
        <w:tblW w:w="9735" w:type="dxa"/>
        <w:tblInd w:w="108" w:type="dxa"/>
        <w:tblLayout w:type="fixed"/>
        <w:tblLook w:val="04A0" w:firstRow="1" w:lastRow="0" w:firstColumn="1" w:lastColumn="0" w:noHBand="0" w:noVBand="1"/>
      </w:tblPr>
      <w:tblGrid>
        <w:gridCol w:w="1614"/>
        <w:gridCol w:w="4686"/>
        <w:gridCol w:w="3435"/>
      </w:tblGrid>
      <w:tr w:rsidR="003906A8" w14:paraId="6B3A30EF" w14:textId="77777777" w:rsidTr="008F348E">
        <w:tc>
          <w:tcPr>
            <w:tcW w:w="1614" w:type="dxa"/>
            <w:tcBorders>
              <w:right w:val="nil"/>
            </w:tcBorders>
            <w:shd w:val="clear" w:color="auto" w:fill="E7E6E6"/>
            <w:vAlign w:val="center"/>
          </w:tcPr>
          <w:p w14:paraId="14EEA12D" w14:textId="25897B6D" w:rsidR="003906A8" w:rsidRDefault="00AB2916" w:rsidP="00BE01DC">
            <w:pPr>
              <w:spacing w:before="86" w:after="86" w:line="240" w:lineRule="auto"/>
            </w:pPr>
            <w:r>
              <w:rPr>
                <w:rFonts w:eastAsia="MS Mincho"/>
                <w:b/>
                <w:sz w:val="20"/>
              </w:rPr>
              <w:t>Requirement ID</w:t>
            </w:r>
          </w:p>
        </w:tc>
        <w:tc>
          <w:tcPr>
            <w:tcW w:w="4686" w:type="dxa"/>
            <w:tcBorders>
              <w:right w:val="nil"/>
            </w:tcBorders>
            <w:shd w:val="clear" w:color="auto" w:fill="E7E6E6"/>
            <w:vAlign w:val="center"/>
          </w:tcPr>
          <w:p w14:paraId="7BF504D8" w14:textId="77777777" w:rsidR="003906A8" w:rsidRDefault="008F5A93">
            <w:pPr>
              <w:spacing w:before="86" w:after="86" w:line="240" w:lineRule="auto"/>
              <w:jc w:val="center"/>
            </w:pPr>
            <w:r>
              <w:rPr>
                <w:rFonts w:eastAsia="MS Mincho"/>
                <w:b/>
                <w:sz w:val="20"/>
              </w:rPr>
              <w:t>Explanation</w:t>
            </w:r>
          </w:p>
        </w:tc>
        <w:tc>
          <w:tcPr>
            <w:tcW w:w="3435" w:type="dxa"/>
            <w:shd w:val="clear" w:color="auto" w:fill="E7E6E6"/>
            <w:vAlign w:val="center"/>
          </w:tcPr>
          <w:p w14:paraId="6671439A"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3906A8" w14:paraId="2FE85CEF" w14:textId="77777777" w:rsidTr="008F348E">
        <w:tc>
          <w:tcPr>
            <w:tcW w:w="1614" w:type="dxa"/>
            <w:tcBorders>
              <w:top w:val="nil"/>
              <w:right w:val="nil"/>
            </w:tcBorders>
            <w:vAlign w:val="center"/>
          </w:tcPr>
          <w:p w14:paraId="6A2DF9A8" w14:textId="3B1AD997" w:rsidR="003906A8" w:rsidRDefault="008F0A80" w:rsidP="00BE01DC">
            <w:pPr>
              <w:spacing w:before="86" w:after="86" w:line="240" w:lineRule="auto"/>
            </w:pPr>
            <w:r w:rsidRPr="00DE3F81">
              <w:rPr>
                <w:bCs/>
                <w:color w:val="232425"/>
                <w:lang w:val="en-GB"/>
              </w:rPr>
              <w:t>FR-1.1: Three-tier source onboarding</w:t>
            </w:r>
          </w:p>
        </w:tc>
        <w:tc>
          <w:tcPr>
            <w:tcW w:w="4686" w:type="dxa"/>
            <w:tcBorders>
              <w:top w:val="nil"/>
              <w:right w:val="nil"/>
            </w:tcBorders>
            <w:vAlign w:val="center"/>
          </w:tcPr>
          <w:p w14:paraId="52451ED6" w14:textId="79B7CB82" w:rsidR="003906A8" w:rsidRDefault="002B43CB">
            <w:pPr>
              <w:spacing w:before="86" w:after="86" w:line="240" w:lineRule="auto"/>
            </w:pPr>
            <w:r w:rsidRPr="00DE3F81">
              <w:rPr>
                <w:bCs/>
                <w:color w:val="232425"/>
                <w:sz w:val="20"/>
                <w:szCs w:val="20"/>
                <w:lang w:val="en-GB"/>
              </w:rPr>
              <w:t>The Contractor shall implement three onboarding tiers. Tier 1 uses native PostgreSQL federation and Kafka consumption for eSocial, including the Audit DB, with full automation. Tier 2 uses an ELT connector platform with native versioning capture for the four Mcloud hosted PostgreSQL sources. Tier 3 uses a snapshot diff strategy for non-PostgreSQL sources accessed via an ELT connector platform over VPN</w:t>
            </w:r>
          </w:p>
        </w:tc>
        <w:tc>
          <w:tcPr>
            <w:tcW w:w="3435" w:type="dxa"/>
            <w:tcBorders>
              <w:top w:val="nil"/>
            </w:tcBorders>
            <w:vAlign w:val="center"/>
          </w:tcPr>
          <w:p w14:paraId="5DAB6C7B" w14:textId="77777777" w:rsidR="003906A8" w:rsidRDefault="003906A8">
            <w:pPr>
              <w:spacing w:before="86" w:after="86" w:line="240" w:lineRule="auto"/>
              <w:rPr>
                <w:rFonts w:eastAsia="MS Mincho"/>
              </w:rPr>
            </w:pPr>
          </w:p>
        </w:tc>
      </w:tr>
      <w:tr w:rsidR="003906A8" w14:paraId="2F4FAA48" w14:textId="77777777" w:rsidTr="008F348E">
        <w:tc>
          <w:tcPr>
            <w:tcW w:w="1614" w:type="dxa"/>
            <w:tcBorders>
              <w:top w:val="nil"/>
              <w:right w:val="nil"/>
            </w:tcBorders>
            <w:vAlign w:val="center"/>
          </w:tcPr>
          <w:p w14:paraId="5E3B4D0A" w14:textId="6A117E16" w:rsidR="003906A8" w:rsidRDefault="00441111" w:rsidP="00BE01DC">
            <w:pPr>
              <w:spacing w:before="86" w:after="86" w:line="240" w:lineRule="auto"/>
            </w:pPr>
            <w:r w:rsidRPr="00DE3F81">
              <w:rPr>
                <w:bCs/>
                <w:color w:val="232425"/>
                <w:lang w:val="en-GB"/>
              </w:rPr>
              <w:t>FR-1.2: Audit database extraction</w:t>
            </w:r>
          </w:p>
        </w:tc>
        <w:tc>
          <w:tcPr>
            <w:tcW w:w="4686" w:type="dxa"/>
            <w:tcBorders>
              <w:top w:val="nil"/>
              <w:right w:val="nil"/>
            </w:tcBorders>
            <w:vAlign w:val="center"/>
          </w:tcPr>
          <w:p w14:paraId="2E1F64BD" w14:textId="041C8C88" w:rsidR="003906A8" w:rsidRDefault="002519F8">
            <w:pPr>
              <w:spacing w:before="86" w:after="86" w:line="240" w:lineRule="auto"/>
            </w:pPr>
            <w:r w:rsidRPr="00DE3F81">
              <w:rPr>
                <w:bCs/>
                <w:color w:val="232425"/>
                <w:sz w:val="20"/>
                <w:szCs w:val="20"/>
                <w:lang w:val="en-GB"/>
              </w:rPr>
              <w:t xml:space="preserve">The Contractor shall configure the eSocial Audit database (PostgreSQL on port 5003) as a first-class Bronze source. Every create, update, and delete event with previous and new values, user, timestamp, and entity type shall be ingested as part of the eSocial Tier 1 extraction. The Audit DB serves analytical use cases that require full change history (trend analysis, user activity patterns, compliance auditing) which the </w:t>
            </w:r>
            <w:r w:rsidRPr="00DE3F81">
              <w:rPr>
                <w:bCs/>
                <w:color w:val="232425"/>
                <w:sz w:val="20"/>
                <w:szCs w:val="20"/>
                <w:lang w:val="en-GB"/>
              </w:rPr>
              <w:lastRenderedPageBreak/>
              <w:t>operational databases cannot provide.</w:t>
            </w:r>
          </w:p>
        </w:tc>
        <w:tc>
          <w:tcPr>
            <w:tcW w:w="3435" w:type="dxa"/>
            <w:tcBorders>
              <w:top w:val="nil"/>
            </w:tcBorders>
            <w:vAlign w:val="center"/>
          </w:tcPr>
          <w:p w14:paraId="02EB378F" w14:textId="77777777" w:rsidR="003906A8" w:rsidRDefault="003906A8">
            <w:pPr>
              <w:spacing w:before="86" w:after="86" w:line="240" w:lineRule="auto"/>
              <w:rPr>
                <w:rFonts w:eastAsia="MS Mincho"/>
              </w:rPr>
            </w:pPr>
          </w:p>
        </w:tc>
      </w:tr>
      <w:tr w:rsidR="003906A8" w14:paraId="57CC6B31" w14:textId="77777777" w:rsidTr="008F348E">
        <w:tc>
          <w:tcPr>
            <w:tcW w:w="1614" w:type="dxa"/>
            <w:tcBorders>
              <w:top w:val="nil"/>
              <w:right w:val="nil"/>
            </w:tcBorders>
            <w:vAlign w:val="center"/>
          </w:tcPr>
          <w:p w14:paraId="65F1FBC3" w14:textId="247322EB" w:rsidR="003906A8" w:rsidRDefault="001776C9" w:rsidP="00BE01DC">
            <w:pPr>
              <w:spacing w:before="86" w:after="86" w:line="240" w:lineRule="auto"/>
            </w:pPr>
            <w:r w:rsidRPr="00DE3F81">
              <w:rPr>
                <w:bCs/>
                <w:color w:val="232425"/>
                <w:lang w:val="en-GB"/>
              </w:rPr>
              <w:t>FR-1.3: Multi-channel event ingestion</w:t>
            </w:r>
          </w:p>
        </w:tc>
        <w:tc>
          <w:tcPr>
            <w:tcW w:w="4686" w:type="dxa"/>
            <w:tcBorders>
              <w:top w:val="nil"/>
              <w:right w:val="nil"/>
            </w:tcBorders>
            <w:vAlign w:val="center"/>
          </w:tcPr>
          <w:p w14:paraId="0BC72A37" w14:textId="4B6388E4" w:rsidR="003906A8" w:rsidRDefault="00997136">
            <w:pPr>
              <w:spacing w:before="86" w:after="86" w:line="240" w:lineRule="auto"/>
            </w:pPr>
            <w:r w:rsidRPr="00997136">
              <w:rPr>
                <w:rFonts w:eastAsia="MS Mincho"/>
                <w:sz w:val="20"/>
              </w:rPr>
              <w:t>In parallel with daily batch synchronisation, the DWH shall accept inbound change events through four channels: Kafka (for OWA modules that publish domain events), REST API (inbound HTTP endpoint on the OWA.DataWarehouse module for systems without Kafka access), Webhook callback (DWH registers as a webhook consumer), and File drop (SFTP zone for systems that produce CSV or JSON event logs). All channels feed a unified Bronze append-only event log with a single event schema contract regardless of transport.</w:t>
            </w:r>
          </w:p>
        </w:tc>
        <w:tc>
          <w:tcPr>
            <w:tcW w:w="3435" w:type="dxa"/>
            <w:tcBorders>
              <w:top w:val="nil"/>
            </w:tcBorders>
            <w:vAlign w:val="center"/>
          </w:tcPr>
          <w:p w14:paraId="6A05A809" w14:textId="77777777" w:rsidR="003906A8" w:rsidRDefault="003906A8">
            <w:pPr>
              <w:spacing w:before="86" w:after="86" w:line="240" w:lineRule="auto"/>
              <w:rPr>
                <w:rFonts w:eastAsia="MS Mincho"/>
              </w:rPr>
            </w:pPr>
          </w:p>
        </w:tc>
      </w:tr>
      <w:tr w:rsidR="003906A8" w14:paraId="7CE04607" w14:textId="77777777" w:rsidTr="008F348E">
        <w:tc>
          <w:tcPr>
            <w:tcW w:w="1614" w:type="dxa"/>
            <w:tcBorders>
              <w:top w:val="nil"/>
              <w:right w:val="nil"/>
            </w:tcBorders>
            <w:vAlign w:val="center"/>
          </w:tcPr>
          <w:p w14:paraId="66739961" w14:textId="754EF487" w:rsidR="003906A8" w:rsidRDefault="00762C49" w:rsidP="00BE01DC">
            <w:pPr>
              <w:spacing w:before="86" w:after="86" w:line="240" w:lineRule="auto"/>
            </w:pPr>
            <w:r w:rsidRPr="00DE3F81">
              <w:rPr>
                <w:bCs/>
                <w:color w:val="232425"/>
                <w:lang w:val="en-GB"/>
              </w:rPr>
              <w:t>FR-1.4: Custom Bronze structures</w:t>
            </w:r>
          </w:p>
        </w:tc>
        <w:tc>
          <w:tcPr>
            <w:tcW w:w="4686" w:type="dxa"/>
            <w:tcBorders>
              <w:top w:val="nil"/>
              <w:right w:val="nil"/>
            </w:tcBorders>
            <w:vAlign w:val="center"/>
          </w:tcPr>
          <w:p w14:paraId="633A0777" w14:textId="29836282" w:rsidR="003906A8" w:rsidRDefault="00DF092C">
            <w:pPr>
              <w:spacing w:before="86" w:after="86" w:line="240" w:lineRule="auto"/>
            </w:pPr>
            <w:r w:rsidRPr="00DF092C">
              <w:rPr>
                <w:rFonts w:eastAsia="MS Mincho"/>
                <w:sz w:val="20"/>
              </w:rPr>
              <w:t>The Bronze layer shall allow custom schemas (such as bronze_custom or bronze_reference) alongside source-mirrored schemas. Custom schemas hold pre-aggregated staging tables, manually maintained lookup or concordance tables, and external reference data loaded via CSV or API. The same partitioning and audit metadata rules apply.</w:t>
            </w:r>
          </w:p>
        </w:tc>
        <w:tc>
          <w:tcPr>
            <w:tcW w:w="3435" w:type="dxa"/>
            <w:tcBorders>
              <w:top w:val="nil"/>
            </w:tcBorders>
            <w:vAlign w:val="center"/>
          </w:tcPr>
          <w:p w14:paraId="5A39BBE3" w14:textId="77777777" w:rsidR="003906A8" w:rsidRDefault="003906A8">
            <w:pPr>
              <w:spacing w:before="86" w:after="86" w:line="240" w:lineRule="auto"/>
              <w:rPr>
                <w:rFonts w:eastAsia="MS Mincho"/>
              </w:rPr>
            </w:pPr>
          </w:p>
        </w:tc>
      </w:tr>
      <w:tr w:rsidR="00762C49" w14:paraId="17F21CFE" w14:textId="77777777" w:rsidTr="008F348E">
        <w:tc>
          <w:tcPr>
            <w:tcW w:w="1614" w:type="dxa"/>
            <w:tcBorders>
              <w:top w:val="nil"/>
              <w:right w:val="nil"/>
            </w:tcBorders>
            <w:vAlign w:val="center"/>
          </w:tcPr>
          <w:p w14:paraId="032598A0" w14:textId="006AFC0F" w:rsidR="00762C49" w:rsidRPr="00DC1A12" w:rsidRDefault="00B02FC2" w:rsidP="00BE01DC">
            <w:pPr>
              <w:spacing w:before="86" w:after="86" w:line="240" w:lineRule="auto"/>
              <w:rPr>
                <w:bCs/>
                <w:color w:val="232425"/>
                <w:lang w:val="en-GB"/>
              </w:rPr>
            </w:pPr>
            <w:r w:rsidRPr="00DE3F81">
              <w:rPr>
                <w:bCs/>
                <w:color w:val="232425"/>
                <w:lang w:val="en-GB"/>
              </w:rPr>
              <w:t>FR-1.5: Schema discovery</w:t>
            </w:r>
          </w:p>
        </w:tc>
        <w:tc>
          <w:tcPr>
            <w:tcW w:w="4686" w:type="dxa"/>
            <w:tcBorders>
              <w:top w:val="nil"/>
              <w:right w:val="nil"/>
            </w:tcBorders>
            <w:vAlign w:val="center"/>
          </w:tcPr>
          <w:p w14:paraId="545CDB2F" w14:textId="28BA7810" w:rsidR="00762C49" w:rsidRDefault="0091378D">
            <w:pPr>
              <w:spacing w:before="86" w:after="86" w:line="240" w:lineRule="auto"/>
              <w:rPr>
                <w:rFonts w:eastAsia="MS Mincho"/>
                <w:sz w:val="20"/>
              </w:rPr>
            </w:pPr>
            <w:r w:rsidRPr="0091378D">
              <w:rPr>
                <w:rFonts w:eastAsia="MS Mincho"/>
                <w:sz w:val="20"/>
              </w:rPr>
              <w:t>The Contractor shall produce a schema discovery report for each source system during Phase 1 for SIAAS and during the relevant Phase for other sources. The report covers table inventory, column types, candidate timestamp columns for incremental extraction, and connectivity test results.</w:t>
            </w:r>
          </w:p>
        </w:tc>
        <w:tc>
          <w:tcPr>
            <w:tcW w:w="3435" w:type="dxa"/>
            <w:tcBorders>
              <w:top w:val="nil"/>
            </w:tcBorders>
            <w:vAlign w:val="center"/>
          </w:tcPr>
          <w:p w14:paraId="09518899" w14:textId="77777777" w:rsidR="00762C49" w:rsidRDefault="00762C49">
            <w:pPr>
              <w:spacing w:before="86" w:after="86" w:line="240" w:lineRule="auto"/>
              <w:rPr>
                <w:rFonts w:eastAsia="MS Mincho"/>
              </w:rPr>
            </w:pPr>
          </w:p>
        </w:tc>
      </w:tr>
      <w:tr w:rsidR="00B02FC2" w14:paraId="6C7AC4E5" w14:textId="77777777" w:rsidTr="008F348E">
        <w:tc>
          <w:tcPr>
            <w:tcW w:w="1614" w:type="dxa"/>
            <w:tcBorders>
              <w:top w:val="nil"/>
              <w:right w:val="nil"/>
            </w:tcBorders>
            <w:vAlign w:val="center"/>
          </w:tcPr>
          <w:p w14:paraId="62C73067" w14:textId="490699ED" w:rsidR="00B02FC2" w:rsidRPr="00DC1A12" w:rsidRDefault="00F57895" w:rsidP="00BE01DC">
            <w:pPr>
              <w:spacing w:before="86" w:after="86" w:line="240" w:lineRule="auto"/>
              <w:rPr>
                <w:bCs/>
                <w:color w:val="232425"/>
                <w:lang w:val="en-GB"/>
              </w:rPr>
            </w:pPr>
            <w:r w:rsidRPr="00DE3F81">
              <w:rPr>
                <w:bCs/>
                <w:color w:val="232425"/>
                <w:lang w:val="en-GB"/>
              </w:rPr>
              <w:t>FR-1.6: Bronze partitioning and retention</w:t>
            </w:r>
          </w:p>
        </w:tc>
        <w:tc>
          <w:tcPr>
            <w:tcW w:w="4686" w:type="dxa"/>
            <w:tcBorders>
              <w:top w:val="nil"/>
              <w:right w:val="nil"/>
            </w:tcBorders>
            <w:vAlign w:val="center"/>
          </w:tcPr>
          <w:p w14:paraId="0E98D954" w14:textId="78E106A9" w:rsidR="00B02FC2" w:rsidRDefault="00D724B4">
            <w:pPr>
              <w:spacing w:before="86" w:after="86" w:line="240" w:lineRule="auto"/>
              <w:rPr>
                <w:rFonts w:eastAsia="MS Mincho"/>
                <w:sz w:val="20"/>
              </w:rPr>
            </w:pPr>
            <w:r w:rsidRPr="00D724B4">
              <w:rPr>
                <w:rFonts w:eastAsia="MS Mincho"/>
                <w:sz w:val="20"/>
              </w:rPr>
              <w:t>Bronze tables shall be partitioned by extraction date and year. Current partitions reside on warm storage. Older partitions are compressed and relocated to cold storage. Bronze data is never deleted, only relocated.</w:t>
            </w:r>
          </w:p>
        </w:tc>
        <w:tc>
          <w:tcPr>
            <w:tcW w:w="3435" w:type="dxa"/>
            <w:tcBorders>
              <w:top w:val="nil"/>
            </w:tcBorders>
            <w:vAlign w:val="center"/>
          </w:tcPr>
          <w:p w14:paraId="18D6334D" w14:textId="77777777" w:rsidR="00B02FC2" w:rsidRDefault="00B02FC2">
            <w:pPr>
              <w:spacing w:before="86" w:after="86" w:line="240" w:lineRule="auto"/>
              <w:rPr>
                <w:rFonts w:eastAsia="MS Mincho"/>
              </w:rPr>
            </w:pPr>
          </w:p>
        </w:tc>
      </w:tr>
      <w:tr w:rsidR="00F57895" w14:paraId="0A9B901B" w14:textId="77777777" w:rsidTr="008F348E">
        <w:tc>
          <w:tcPr>
            <w:tcW w:w="1614" w:type="dxa"/>
            <w:tcBorders>
              <w:top w:val="nil"/>
              <w:right w:val="nil"/>
            </w:tcBorders>
            <w:vAlign w:val="center"/>
          </w:tcPr>
          <w:p w14:paraId="1B8FFAE5" w14:textId="2BA9DCEA" w:rsidR="00F57895" w:rsidRPr="00DC1A12" w:rsidRDefault="002357DA" w:rsidP="00BE01DC">
            <w:pPr>
              <w:spacing w:before="86" w:after="86" w:line="240" w:lineRule="auto"/>
              <w:rPr>
                <w:bCs/>
                <w:color w:val="232425"/>
                <w:lang w:val="en-GB"/>
              </w:rPr>
            </w:pPr>
            <w:r w:rsidRPr="00DE3F81">
              <w:rPr>
                <w:bCs/>
                <w:color w:val="232425"/>
                <w:lang w:val="en-GB"/>
              </w:rPr>
              <w:t>FR-1.7: Bronze schema auto-evolution</w:t>
            </w:r>
          </w:p>
        </w:tc>
        <w:tc>
          <w:tcPr>
            <w:tcW w:w="4686" w:type="dxa"/>
            <w:tcBorders>
              <w:top w:val="nil"/>
              <w:right w:val="nil"/>
            </w:tcBorders>
            <w:vAlign w:val="center"/>
          </w:tcPr>
          <w:p w14:paraId="02CDE134" w14:textId="77777777" w:rsidR="008F348E" w:rsidRPr="008F348E" w:rsidRDefault="008F348E" w:rsidP="008F348E">
            <w:pPr>
              <w:spacing w:before="86" w:after="86" w:line="240" w:lineRule="auto"/>
              <w:rPr>
                <w:rFonts w:eastAsia="MS Mincho"/>
                <w:sz w:val="20"/>
              </w:rPr>
            </w:pPr>
            <w:r w:rsidRPr="008F348E">
              <w:rPr>
                <w:rFonts w:eastAsia="MS Mincho"/>
                <w:sz w:val="20"/>
              </w:rPr>
              <w:t>The Contractor shall implement automatic Bronze schema evolution for all source systems. When new tables, columns, or data types appear in a source system, the Bronze layer shall:</w:t>
            </w:r>
          </w:p>
          <w:p w14:paraId="2F452DE1" w14:textId="32AFBD9E" w:rsidR="008F348E" w:rsidRPr="008F348E" w:rsidRDefault="008F348E" w:rsidP="008F348E">
            <w:pPr>
              <w:spacing w:before="86" w:after="86" w:line="240" w:lineRule="auto"/>
              <w:rPr>
                <w:rFonts w:eastAsia="MS Mincho"/>
                <w:sz w:val="20"/>
              </w:rPr>
            </w:pPr>
            <w:r w:rsidRPr="008F348E">
              <w:rPr>
                <w:rFonts w:eastAsia="MS Mincho"/>
                <w:sz w:val="20"/>
              </w:rPr>
              <w:t>a)detect the schema change during the next scheduled extraction,</w:t>
            </w:r>
          </w:p>
          <w:p w14:paraId="0BFDEE1B" w14:textId="1B0A2646" w:rsidR="008F348E" w:rsidRPr="008F348E" w:rsidRDefault="008F348E" w:rsidP="008F348E">
            <w:pPr>
              <w:spacing w:before="86" w:after="86" w:line="240" w:lineRule="auto"/>
              <w:rPr>
                <w:rFonts w:eastAsia="MS Mincho"/>
                <w:sz w:val="20"/>
              </w:rPr>
            </w:pPr>
            <w:r w:rsidRPr="008F348E">
              <w:rPr>
                <w:rFonts w:eastAsia="MS Mincho"/>
                <w:sz w:val="20"/>
              </w:rPr>
              <w:t>b)automatically create the corresponding Bronze table or column without manual intervention,</w:t>
            </w:r>
          </w:p>
          <w:p w14:paraId="27A4325D" w14:textId="6F6B1708" w:rsidR="008F348E" w:rsidRPr="008F348E" w:rsidRDefault="008F348E" w:rsidP="008F348E">
            <w:pPr>
              <w:spacing w:before="86" w:after="86" w:line="240" w:lineRule="auto"/>
              <w:rPr>
                <w:rFonts w:eastAsia="MS Mincho"/>
                <w:sz w:val="20"/>
              </w:rPr>
            </w:pPr>
            <w:r w:rsidRPr="008F348E">
              <w:rPr>
                <w:rFonts w:eastAsia="MS Mincho"/>
                <w:sz w:val="20"/>
              </w:rPr>
              <w:t>c)ingest the data into the new structure preserving extraction metadata (extracted_at, source_system),</w:t>
            </w:r>
          </w:p>
          <w:p w14:paraId="612CE83C" w14:textId="7A5F724F" w:rsidR="008F348E" w:rsidRPr="008F348E" w:rsidRDefault="008F348E" w:rsidP="008F348E">
            <w:pPr>
              <w:spacing w:before="86" w:after="86" w:line="240" w:lineRule="auto"/>
              <w:rPr>
                <w:rFonts w:eastAsia="MS Mincho"/>
                <w:sz w:val="20"/>
              </w:rPr>
            </w:pPr>
            <w:r w:rsidRPr="008F348E">
              <w:rPr>
                <w:rFonts w:eastAsia="MS Mincho"/>
                <w:sz w:val="20"/>
              </w:rPr>
              <w:t>d)log the schema change to the data catalog and notify the DWH administrator.</w:t>
            </w:r>
          </w:p>
          <w:p w14:paraId="7D98E1C1" w14:textId="12D62675" w:rsidR="00F57895" w:rsidRDefault="008F348E" w:rsidP="008F348E">
            <w:pPr>
              <w:spacing w:before="86" w:after="86" w:line="240" w:lineRule="auto"/>
              <w:rPr>
                <w:rFonts w:eastAsia="MS Mincho"/>
                <w:sz w:val="20"/>
              </w:rPr>
            </w:pPr>
            <w:r w:rsidRPr="008F348E">
              <w:rPr>
                <w:rFonts w:eastAsia="MS Mincho"/>
                <w:sz w:val="20"/>
              </w:rPr>
              <w:t>Schema drift on existing tables (column type changes, column removals) shall trigger an alert and pause the affected extraction until the DWH administrator confirms the change. The auto evolution mechanism shall be configurable per source system to allow opt-out for sources where strict schema control is required</w:t>
            </w:r>
          </w:p>
        </w:tc>
        <w:tc>
          <w:tcPr>
            <w:tcW w:w="3435" w:type="dxa"/>
            <w:tcBorders>
              <w:top w:val="nil"/>
            </w:tcBorders>
            <w:vAlign w:val="center"/>
          </w:tcPr>
          <w:p w14:paraId="6D199CA6" w14:textId="77777777" w:rsidR="00F57895" w:rsidRDefault="00F57895">
            <w:pPr>
              <w:spacing w:before="86" w:after="86" w:line="240" w:lineRule="auto"/>
              <w:rPr>
                <w:rFonts w:eastAsia="MS Mincho"/>
              </w:rPr>
            </w:pPr>
          </w:p>
        </w:tc>
      </w:tr>
      <w:tr w:rsidR="002357DA" w14:paraId="2F082BE3" w14:textId="77777777" w:rsidTr="008F348E">
        <w:tc>
          <w:tcPr>
            <w:tcW w:w="1614" w:type="dxa"/>
            <w:tcBorders>
              <w:top w:val="nil"/>
              <w:right w:val="nil"/>
            </w:tcBorders>
            <w:vAlign w:val="center"/>
          </w:tcPr>
          <w:p w14:paraId="72957AC3" w14:textId="170FB174" w:rsidR="002357DA" w:rsidRPr="00DC1A12" w:rsidRDefault="005707E1" w:rsidP="00BE01DC">
            <w:pPr>
              <w:spacing w:before="86" w:after="86" w:line="240" w:lineRule="auto"/>
              <w:rPr>
                <w:bCs/>
                <w:color w:val="232425"/>
                <w:lang w:val="en-GB"/>
              </w:rPr>
            </w:pPr>
            <w:r w:rsidRPr="00DE3F81">
              <w:rPr>
                <w:bCs/>
                <w:color w:val="232425"/>
                <w:lang w:val="en-GB"/>
              </w:rPr>
              <w:lastRenderedPageBreak/>
              <w:t>FR-1.8: Append-only Bronze and historical preservation</w:t>
            </w:r>
          </w:p>
        </w:tc>
        <w:tc>
          <w:tcPr>
            <w:tcW w:w="4686" w:type="dxa"/>
            <w:tcBorders>
              <w:top w:val="nil"/>
              <w:right w:val="nil"/>
            </w:tcBorders>
            <w:vAlign w:val="center"/>
          </w:tcPr>
          <w:p w14:paraId="19FCAFD6" w14:textId="77777777" w:rsidR="00FF0387" w:rsidRPr="00FF0387" w:rsidRDefault="00FF0387" w:rsidP="00FF0387">
            <w:pPr>
              <w:spacing w:before="86" w:after="86" w:line="240" w:lineRule="auto"/>
              <w:rPr>
                <w:rFonts w:eastAsia="MS Mincho"/>
                <w:sz w:val="20"/>
              </w:rPr>
            </w:pPr>
            <w:r w:rsidRPr="00FF0387">
              <w:rPr>
                <w:rFonts w:eastAsia="MS Mincho"/>
                <w:sz w:val="20"/>
              </w:rPr>
              <w:t>The Bronze layer shall be implemented as append-only for all sources, regardless of extraction tier or transport channel. Each extraction produces new rows in Bronze, never overwriting or deleting existing rows. The Contractor shall implement the following behaviour:</w:t>
            </w:r>
          </w:p>
          <w:p w14:paraId="0DF2675B" w14:textId="31676F18" w:rsidR="00FF0387" w:rsidRPr="00FF0387" w:rsidRDefault="00FF0387" w:rsidP="00FF0387">
            <w:pPr>
              <w:spacing w:before="86" w:after="86" w:line="240" w:lineRule="auto"/>
              <w:rPr>
                <w:rFonts w:eastAsia="MS Mincho"/>
                <w:sz w:val="20"/>
              </w:rPr>
            </w:pPr>
            <w:r w:rsidRPr="00FF0387">
              <w:rPr>
                <w:rFonts w:eastAsia="MS Mincho"/>
                <w:sz w:val="20"/>
              </w:rPr>
              <w:t>a.Inserts in source systems result in new rows in Bronze with extraction metadata (extracted_at, source_system, batch_id).</w:t>
            </w:r>
          </w:p>
          <w:p w14:paraId="2773D3E5" w14:textId="681DAAA9" w:rsidR="00FF0387" w:rsidRPr="00FF0387" w:rsidRDefault="00FF0387" w:rsidP="00FF0387">
            <w:pPr>
              <w:spacing w:before="86" w:after="86" w:line="240" w:lineRule="auto"/>
              <w:rPr>
                <w:rFonts w:eastAsia="MS Mincho"/>
                <w:sz w:val="20"/>
              </w:rPr>
            </w:pPr>
            <w:r w:rsidRPr="00FF0387">
              <w:rPr>
                <w:rFonts w:eastAsia="MS Mincho"/>
                <w:sz w:val="20"/>
              </w:rPr>
              <w:t>b.Updates in source systems result in NEW Bronze rows representing the updated state, with the previous Bronze rows retained intact. Bronze tables shall include an extracted_at timestamp column to distinguish versions.</w:t>
            </w:r>
          </w:p>
          <w:p w14:paraId="2194B6C2" w14:textId="5528F60D" w:rsidR="00FF0387" w:rsidRPr="00FF0387" w:rsidRDefault="00FF0387" w:rsidP="00FF0387">
            <w:pPr>
              <w:spacing w:before="86" w:after="86" w:line="240" w:lineRule="auto"/>
              <w:rPr>
                <w:rFonts w:eastAsia="MS Mincho"/>
                <w:sz w:val="20"/>
              </w:rPr>
            </w:pPr>
            <w:r w:rsidRPr="00FF0387">
              <w:rPr>
                <w:rFonts w:eastAsia="MS Mincho"/>
                <w:sz w:val="20"/>
              </w:rPr>
              <w:t>c.Deletes in source systems are detected by comparison between consecutive extractions and recorded in Bronze as a soft-delete row with deleted_at timestamp and is_deleted flag, while the original Bronze rows representing the prior state are retained intact.</w:t>
            </w:r>
          </w:p>
          <w:p w14:paraId="6133FDA7" w14:textId="04640202" w:rsidR="00FF0387" w:rsidRPr="00FF0387" w:rsidRDefault="00FF0387" w:rsidP="00FF0387">
            <w:pPr>
              <w:spacing w:before="86" w:after="86" w:line="240" w:lineRule="auto"/>
              <w:rPr>
                <w:rFonts w:eastAsia="MS Mincho"/>
                <w:sz w:val="20"/>
              </w:rPr>
            </w:pPr>
            <w:r w:rsidRPr="00FF0387">
              <w:rPr>
                <w:rFonts w:eastAsia="MS Mincho"/>
                <w:sz w:val="20"/>
              </w:rPr>
              <w:t>d.Bronze tables shall not implement physical deletes triggered by source-side activity. Physical relocation of data to cold storage per FR-1.6 is the only permitted Bronze data movement.</w:t>
            </w:r>
          </w:p>
          <w:p w14:paraId="2296CCF5" w14:textId="0BADC2E6" w:rsidR="00FF0387" w:rsidRPr="00FF0387" w:rsidRDefault="00FF0387" w:rsidP="00FF0387">
            <w:pPr>
              <w:spacing w:before="86" w:after="86" w:line="240" w:lineRule="auto"/>
              <w:rPr>
                <w:rFonts w:eastAsia="MS Mincho"/>
                <w:sz w:val="20"/>
              </w:rPr>
            </w:pPr>
            <w:r w:rsidRPr="00FF0387">
              <w:rPr>
                <w:rFonts w:eastAsia="MS Mincho"/>
                <w:sz w:val="20"/>
              </w:rPr>
              <w:t>e.Where a source system itself maintains change history (eSocial Audit DB, change-data-capture-enabled sources), the source change records are ingested into Bronze in addition to the current-state extraction.</w:t>
            </w:r>
          </w:p>
          <w:p w14:paraId="6B93778F" w14:textId="0E418BF4" w:rsidR="002357DA" w:rsidRDefault="00FF0387" w:rsidP="00FF0387">
            <w:pPr>
              <w:spacing w:before="86" w:after="86" w:line="240" w:lineRule="auto"/>
              <w:rPr>
                <w:rFonts w:eastAsia="MS Mincho"/>
                <w:sz w:val="20"/>
              </w:rPr>
            </w:pPr>
            <w:r w:rsidRPr="00FF0387">
              <w:rPr>
                <w:rFonts w:eastAsia="MS Mincho"/>
                <w:sz w:val="20"/>
              </w:rPr>
              <w:t>This append-only behaviour preserves the full historical record needed for audit, compliance, fraud detection, and GDPR access requests. Right-to-erasure under GDPR is propagated through the Silver and Gold layers per FR-6.5, while Bronze retains the historical record under restricted access controls</w:t>
            </w:r>
          </w:p>
        </w:tc>
        <w:tc>
          <w:tcPr>
            <w:tcW w:w="3435" w:type="dxa"/>
            <w:tcBorders>
              <w:top w:val="nil"/>
            </w:tcBorders>
            <w:vAlign w:val="center"/>
          </w:tcPr>
          <w:p w14:paraId="135E985F" w14:textId="77777777" w:rsidR="002357DA" w:rsidRDefault="002357DA">
            <w:pPr>
              <w:spacing w:before="86" w:after="86" w:line="240" w:lineRule="auto"/>
              <w:rPr>
                <w:rFonts w:eastAsia="MS Mincho"/>
              </w:rPr>
            </w:pPr>
          </w:p>
        </w:tc>
      </w:tr>
    </w:tbl>
    <w:p w14:paraId="72A3D3EC" w14:textId="77777777" w:rsidR="003906A8" w:rsidRDefault="003906A8">
      <w:pPr>
        <w:spacing w:after="80"/>
        <w:rPr>
          <w:b/>
        </w:rPr>
      </w:pPr>
    </w:p>
    <w:p w14:paraId="5936C95D" w14:textId="68737E4B" w:rsidR="00893481" w:rsidRPr="004A5E6C" w:rsidRDefault="00893481" w:rsidP="004A5E6C">
      <w:pPr>
        <w:pStyle w:val="Heading3"/>
        <w:rPr>
          <w:color w:val="auto"/>
          <w:sz w:val="28"/>
          <w:szCs w:val="32"/>
          <w:lang w:val="en-GB"/>
        </w:rPr>
      </w:pPr>
      <w:bookmarkStart w:id="1" w:name="_Toc236911025"/>
      <w:r w:rsidRPr="00DE3F81">
        <w:rPr>
          <w:color w:val="243F60" w:themeColor="accent1" w:themeShade="7F"/>
          <w:sz w:val="24"/>
          <w:szCs w:val="28"/>
          <w:lang w:val="en-GB"/>
        </w:rPr>
        <w:t>2. Transformation and Quality</w:t>
      </w:r>
      <w:bookmarkEnd w:id="1"/>
    </w:p>
    <w:p w14:paraId="5553B53E" w14:textId="77777777" w:rsidR="00463AB1" w:rsidRPr="00DE3F81" w:rsidRDefault="00463AB1" w:rsidP="00463AB1">
      <w:pPr>
        <w:rPr>
          <w:lang w:val="en-GB"/>
        </w:rPr>
      </w:pPr>
      <w:r w:rsidRPr="00DE3F81">
        <w:rPr>
          <w:b/>
          <w:bCs/>
          <w:lang w:val="en-GB"/>
        </w:rPr>
        <w:t>Procedure name</w:t>
      </w:r>
      <w:r w:rsidRPr="00DE3F81">
        <w:rPr>
          <w:lang w:val="en-GB"/>
        </w:rPr>
        <w:t>: Transformation of Bronze data to Silver and Gold with automated quality validation</w:t>
      </w:r>
    </w:p>
    <w:p w14:paraId="075CDFF9" w14:textId="77777777" w:rsidR="00463AB1" w:rsidRPr="00DE3F81" w:rsidRDefault="00463AB1" w:rsidP="00463AB1">
      <w:pPr>
        <w:jc w:val="both"/>
        <w:rPr>
          <w:lang w:val="en-GB"/>
        </w:rPr>
      </w:pPr>
      <w:r w:rsidRPr="00DE3F81">
        <w:rPr>
          <w:b/>
          <w:bCs/>
          <w:lang w:val="en-GB"/>
        </w:rPr>
        <w:t>Description</w:t>
      </w:r>
      <w:r w:rsidRPr="00DE3F81">
        <w:rPr>
          <w:lang w:val="en-GB"/>
        </w:rPr>
        <w:t>: The process by which raw Bronze data is cleaned, deduplicated, conformed, and aggregated into the Silver and Gold layers using an SQL-based transformation framework, with automated data quality validation at each step.</w:t>
      </w:r>
    </w:p>
    <w:p w14:paraId="4B877EF0" w14:textId="78651797" w:rsidR="003906A8" w:rsidRPr="00DE3F81" w:rsidRDefault="00463AB1" w:rsidP="00DE3F81">
      <w:pPr>
        <w:rPr>
          <w:b/>
          <w:bCs/>
          <w:lang w:val="en-GB"/>
        </w:rPr>
      </w:pPr>
      <w:r w:rsidRPr="00DE3F81">
        <w:rPr>
          <w:b/>
          <w:bCs/>
          <w:lang w:val="en-GB"/>
        </w:rPr>
        <w:t>List of functional requirements:</w:t>
      </w:r>
    </w:p>
    <w:tbl>
      <w:tblPr>
        <w:tblStyle w:val="TableGrid"/>
        <w:tblW w:w="9360" w:type="dxa"/>
        <w:tblInd w:w="105" w:type="dxa"/>
        <w:tblLayout w:type="fixed"/>
        <w:tblLook w:val="04A0" w:firstRow="1" w:lastRow="0" w:firstColumn="1" w:lastColumn="0" w:noHBand="0" w:noVBand="1"/>
      </w:tblPr>
      <w:tblGrid>
        <w:gridCol w:w="1699"/>
        <w:gridCol w:w="4240"/>
        <w:gridCol w:w="3421"/>
      </w:tblGrid>
      <w:tr w:rsidR="003906A8" w14:paraId="7BB4F540" w14:textId="77777777">
        <w:tc>
          <w:tcPr>
            <w:tcW w:w="1699" w:type="dxa"/>
            <w:shd w:val="clear" w:color="auto" w:fill="E7E6E6"/>
            <w:vAlign w:val="center"/>
          </w:tcPr>
          <w:p w14:paraId="3D083EFD" w14:textId="70ED2E35" w:rsidR="003906A8" w:rsidRDefault="00AB2916" w:rsidP="00BE01DC">
            <w:pPr>
              <w:spacing w:before="115" w:after="86" w:line="240" w:lineRule="auto"/>
            </w:pPr>
            <w:r>
              <w:rPr>
                <w:rFonts w:eastAsia="MS Mincho"/>
                <w:b/>
                <w:sz w:val="20"/>
              </w:rPr>
              <w:t>Requirement ID</w:t>
            </w:r>
          </w:p>
        </w:tc>
        <w:tc>
          <w:tcPr>
            <w:tcW w:w="4240" w:type="dxa"/>
            <w:shd w:val="clear" w:color="auto" w:fill="E7E6E6"/>
            <w:vAlign w:val="center"/>
          </w:tcPr>
          <w:p w14:paraId="29346F2B" w14:textId="77777777" w:rsidR="003906A8" w:rsidRDefault="008F5A93">
            <w:pPr>
              <w:spacing w:before="115" w:after="86" w:line="240" w:lineRule="auto"/>
              <w:jc w:val="center"/>
            </w:pPr>
            <w:r>
              <w:rPr>
                <w:rFonts w:eastAsia="MS Mincho"/>
                <w:b/>
                <w:sz w:val="20"/>
              </w:rPr>
              <w:t>Explanation</w:t>
            </w:r>
          </w:p>
        </w:tc>
        <w:tc>
          <w:tcPr>
            <w:tcW w:w="3421" w:type="dxa"/>
            <w:shd w:val="clear" w:color="auto" w:fill="E7E6E6"/>
            <w:vAlign w:val="center"/>
          </w:tcPr>
          <w:p w14:paraId="3796B367" w14:textId="77777777" w:rsidR="003906A8" w:rsidRDefault="008F5A93">
            <w:pPr>
              <w:spacing w:before="115"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D7778F" w14:paraId="1A2FB177" w14:textId="77777777" w:rsidTr="00C90CCD">
        <w:tc>
          <w:tcPr>
            <w:tcW w:w="1699" w:type="dxa"/>
          </w:tcPr>
          <w:p w14:paraId="1327450B" w14:textId="280F1578" w:rsidR="00D7778F" w:rsidRDefault="00D7778F" w:rsidP="00BE01DC">
            <w:pPr>
              <w:spacing w:before="115" w:after="86" w:line="240" w:lineRule="auto"/>
            </w:pPr>
            <w:r w:rsidRPr="00094707">
              <w:lastRenderedPageBreak/>
              <w:t>FR-2.1: Transformation framework</w:t>
            </w:r>
          </w:p>
        </w:tc>
        <w:tc>
          <w:tcPr>
            <w:tcW w:w="4240" w:type="dxa"/>
          </w:tcPr>
          <w:p w14:paraId="7FB03399" w14:textId="49F9B57D" w:rsidR="00D7778F" w:rsidRPr="00D7778F" w:rsidRDefault="00D7778F" w:rsidP="00D7778F">
            <w:pPr>
              <w:spacing w:before="115" w:after="86" w:line="240" w:lineRule="auto"/>
              <w:rPr>
                <w:sz w:val="20"/>
                <w:szCs w:val="20"/>
              </w:rPr>
            </w:pPr>
            <w:r w:rsidRPr="00D7778F">
              <w:rPr>
                <w:sz w:val="20"/>
                <w:szCs w:val="20"/>
              </w:rPr>
              <w:t>All transformations from Bronze to Silver to Gold shall be implemented in an SQL-based transformation framework. Each transformation model shall have at least one automated test (uniqueness, not-null, accepted values, or referential relationship).</w:t>
            </w:r>
          </w:p>
        </w:tc>
        <w:tc>
          <w:tcPr>
            <w:tcW w:w="3421" w:type="dxa"/>
            <w:vAlign w:val="center"/>
          </w:tcPr>
          <w:p w14:paraId="45FB0818" w14:textId="77777777" w:rsidR="00D7778F" w:rsidRDefault="00D7778F" w:rsidP="00D7778F">
            <w:pPr>
              <w:spacing w:before="115" w:after="86" w:line="240" w:lineRule="auto"/>
              <w:rPr>
                <w:rFonts w:eastAsia="MS Mincho"/>
              </w:rPr>
            </w:pPr>
          </w:p>
        </w:tc>
      </w:tr>
      <w:tr w:rsidR="00D7778F" w14:paraId="6159BC41" w14:textId="77777777" w:rsidTr="00C90CCD">
        <w:tc>
          <w:tcPr>
            <w:tcW w:w="1699" w:type="dxa"/>
          </w:tcPr>
          <w:p w14:paraId="40079A89" w14:textId="1FB9CE4C" w:rsidR="00D7778F" w:rsidRDefault="00D7778F" w:rsidP="00BE01DC">
            <w:pPr>
              <w:spacing w:before="115" w:after="86" w:line="240" w:lineRule="auto"/>
            </w:pPr>
            <w:r w:rsidRPr="00094707">
              <w:t>FR-2.2: Semantic metrics</w:t>
            </w:r>
          </w:p>
        </w:tc>
        <w:tc>
          <w:tcPr>
            <w:tcW w:w="4240" w:type="dxa"/>
          </w:tcPr>
          <w:p w14:paraId="7A5E7A07" w14:textId="4ED70F4B" w:rsidR="00D7778F" w:rsidRDefault="00D7778F" w:rsidP="00D7778F">
            <w:pPr>
              <w:spacing w:before="115" w:after="86" w:line="240" w:lineRule="auto"/>
            </w:pPr>
            <w:r w:rsidRPr="00D7778F">
              <w:rPr>
                <w:sz w:val="20"/>
                <w:szCs w:val="20"/>
              </w:rPr>
              <w:t>Business measures (total compensation paid, average unemployment duration, disability approval rate, child protection case duration, and similar) shall be defined once in a semantic layer and reused across all dashboards, so calculations stay consistent regardless of who builds the report.</w:t>
            </w:r>
          </w:p>
        </w:tc>
        <w:tc>
          <w:tcPr>
            <w:tcW w:w="3421" w:type="dxa"/>
            <w:vAlign w:val="center"/>
          </w:tcPr>
          <w:p w14:paraId="049F31CB" w14:textId="77777777" w:rsidR="00D7778F" w:rsidRDefault="00D7778F" w:rsidP="00D7778F">
            <w:pPr>
              <w:spacing w:before="115" w:after="86" w:line="240" w:lineRule="auto"/>
              <w:rPr>
                <w:rFonts w:eastAsia="MS Mincho"/>
              </w:rPr>
            </w:pPr>
          </w:p>
        </w:tc>
      </w:tr>
      <w:tr w:rsidR="00D7778F" w14:paraId="075435DF" w14:textId="77777777" w:rsidTr="00C90CCD">
        <w:tc>
          <w:tcPr>
            <w:tcW w:w="1699" w:type="dxa"/>
          </w:tcPr>
          <w:p w14:paraId="75FC381B" w14:textId="6361E896" w:rsidR="00D7778F" w:rsidRDefault="00D7778F" w:rsidP="00BE01DC">
            <w:pPr>
              <w:spacing w:before="115" w:after="86" w:line="240" w:lineRule="auto"/>
            </w:pPr>
            <w:r w:rsidRPr="00094707">
              <w:t>FR-2.3: Data quality validation</w:t>
            </w:r>
          </w:p>
        </w:tc>
        <w:tc>
          <w:tcPr>
            <w:tcW w:w="4240" w:type="dxa"/>
          </w:tcPr>
          <w:p w14:paraId="6400E7E8" w14:textId="1FDB800B" w:rsidR="00D7778F" w:rsidRDefault="00D7778F" w:rsidP="00D7778F">
            <w:pPr>
              <w:spacing w:before="115" w:after="86" w:line="240" w:lineRule="auto"/>
            </w:pPr>
            <w:r w:rsidRPr="00DD2B35">
              <w:rPr>
                <w:sz w:val="20"/>
                <w:szCs w:val="20"/>
              </w:rPr>
              <w:t>An open-source data quality validation framework shall run on every Bronze schema before transformation begins, covering: row count comparison against the previous extraction, null rate monitoring on key columns (IDNP, dates, status fields), data type conformity, freshness validation, and schema drift detection. Validation results shall be logged to a shared dashboard and failed checks shall trigger orchestrator alerts before transformation begins.</w:t>
            </w:r>
          </w:p>
        </w:tc>
        <w:tc>
          <w:tcPr>
            <w:tcW w:w="3421" w:type="dxa"/>
            <w:vAlign w:val="center"/>
          </w:tcPr>
          <w:p w14:paraId="53128261" w14:textId="77777777" w:rsidR="00D7778F" w:rsidRDefault="00D7778F" w:rsidP="00D7778F">
            <w:pPr>
              <w:spacing w:before="115" w:after="86" w:line="240" w:lineRule="auto"/>
              <w:rPr>
                <w:rFonts w:eastAsia="MS Mincho"/>
              </w:rPr>
            </w:pPr>
          </w:p>
        </w:tc>
      </w:tr>
      <w:tr w:rsidR="00D7778F" w14:paraId="5DD81409" w14:textId="77777777" w:rsidTr="00C90CCD">
        <w:tc>
          <w:tcPr>
            <w:tcW w:w="1699" w:type="dxa"/>
          </w:tcPr>
          <w:p w14:paraId="1FA5CC3D" w14:textId="2131EAD4" w:rsidR="00D7778F" w:rsidRDefault="00D7778F" w:rsidP="00BE01DC">
            <w:pPr>
              <w:spacing w:before="115" w:after="86" w:line="240" w:lineRule="auto"/>
              <w:rPr>
                <w:rFonts w:eastAsia="MS Mincho"/>
                <w:b/>
                <w:sz w:val="20"/>
              </w:rPr>
            </w:pPr>
            <w:r w:rsidRPr="00094707">
              <w:t>FR-2.4: Cross-system deduplication</w:t>
            </w:r>
          </w:p>
        </w:tc>
        <w:tc>
          <w:tcPr>
            <w:tcW w:w="4240" w:type="dxa"/>
          </w:tcPr>
          <w:p w14:paraId="4387F839" w14:textId="77777777" w:rsidR="00DD2B35" w:rsidRPr="00DD2B35" w:rsidRDefault="00DD2B35" w:rsidP="00DD2B35">
            <w:pPr>
              <w:spacing w:before="115" w:after="86" w:line="240" w:lineRule="auto"/>
              <w:rPr>
                <w:sz w:val="20"/>
                <w:szCs w:val="20"/>
              </w:rPr>
            </w:pPr>
            <w:r w:rsidRPr="00DD2B35">
              <w:rPr>
                <w:sz w:val="20"/>
                <w:szCs w:val="20"/>
              </w:rPr>
              <w:t xml:space="preserve">The Silver layer shall implement deduplication logic for: </w:t>
            </w:r>
          </w:p>
          <w:p w14:paraId="524A7C18" w14:textId="110193BB" w:rsidR="00DD2B35" w:rsidRPr="00DD2B35" w:rsidRDefault="00DD2B35" w:rsidP="00DD2B35">
            <w:pPr>
              <w:spacing w:before="115" w:after="86" w:line="240" w:lineRule="auto"/>
              <w:rPr>
                <w:sz w:val="20"/>
                <w:szCs w:val="20"/>
              </w:rPr>
            </w:pPr>
            <w:r w:rsidRPr="00DD2B35">
              <w:rPr>
                <w:sz w:val="20"/>
                <w:szCs w:val="20"/>
              </w:rPr>
              <w:t xml:space="preserve">a.the SIA Jobless and SIA Statut Somer overlap during the ANOFM transition, with the authoritative system per time period configurable by ANOFM, and </w:t>
            </w:r>
          </w:p>
          <w:p w14:paraId="369904A5" w14:textId="048D2668" w:rsidR="00D7778F" w:rsidRDefault="00DD2B35" w:rsidP="00DD2B35">
            <w:pPr>
              <w:spacing w:before="115" w:after="86" w:line="240" w:lineRule="auto"/>
              <w:rPr>
                <w:rFonts w:eastAsia="MS Mincho"/>
                <w:sz w:val="20"/>
              </w:rPr>
            </w:pPr>
            <w:r w:rsidRPr="00DD2B35">
              <w:rPr>
                <w:sz w:val="20"/>
                <w:szCs w:val="20"/>
              </w:rPr>
              <w:t>b.(b) the DDCM and SIAAS overlap during 2017 to 2021, with DDCM authoritative from 2017 onward and SIAAS authoritative pre-2017</w:t>
            </w:r>
          </w:p>
        </w:tc>
        <w:tc>
          <w:tcPr>
            <w:tcW w:w="3421" w:type="dxa"/>
            <w:vAlign w:val="center"/>
          </w:tcPr>
          <w:p w14:paraId="27540888" w14:textId="77777777" w:rsidR="00D7778F" w:rsidRDefault="00D7778F" w:rsidP="00D7778F">
            <w:pPr>
              <w:spacing w:before="115" w:after="86" w:line="240" w:lineRule="auto"/>
              <w:rPr>
                <w:rFonts w:eastAsia="MS Mincho"/>
              </w:rPr>
            </w:pPr>
          </w:p>
        </w:tc>
      </w:tr>
      <w:tr w:rsidR="00DD2B35" w14:paraId="47BD0B8E" w14:textId="77777777" w:rsidTr="00C90CCD">
        <w:tc>
          <w:tcPr>
            <w:tcW w:w="1699" w:type="dxa"/>
          </w:tcPr>
          <w:p w14:paraId="0511315C" w14:textId="0173E57B" w:rsidR="00DD2B35" w:rsidRDefault="00DD2B35" w:rsidP="00BE01DC">
            <w:pPr>
              <w:spacing w:before="115" w:after="86" w:line="240" w:lineRule="auto"/>
              <w:rPr>
                <w:rFonts w:eastAsia="MS Mincho"/>
                <w:b/>
                <w:sz w:val="20"/>
              </w:rPr>
            </w:pPr>
            <w:r w:rsidRPr="00094707">
              <w:t>FR-2.5: Data lineage and catalog</w:t>
            </w:r>
          </w:p>
        </w:tc>
        <w:tc>
          <w:tcPr>
            <w:tcW w:w="4240" w:type="dxa"/>
          </w:tcPr>
          <w:p w14:paraId="7F9F5429" w14:textId="56374AFE" w:rsidR="00DD2B35" w:rsidRDefault="00DD2B35" w:rsidP="00DD2B35">
            <w:pPr>
              <w:spacing w:before="115" w:after="86" w:line="240" w:lineRule="auto"/>
              <w:rPr>
                <w:rFonts w:eastAsia="MS Mincho"/>
                <w:sz w:val="20"/>
              </w:rPr>
            </w:pPr>
            <w:r w:rsidRPr="00DD2B35">
              <w:rPr>
                <w:sz w:val="20"/>
                <w:szCs w:val="20"/>
              </w:rPr>
              <w:t>Data lineage and catalog content shall be deployed as a searchable static website with full column descriptions, lineage graphs (source to Bronze to Silver to Gold), and freshness indicators. Dataset quality scores (freshness, completeness, test pass rate) shall be surfaced in the catalog interface.</w:t>
            </w:r>
          </w:p>
        </w:tc>
        <w:tc>
          <w:tcPr>
            <w:tcW w:w="3421" w:type="dxa"/>
            <w:vAlign w:val="center"/>
          </w:tcPr>
          <w:p w14:paraId="1E6C9C83" w14:textId="77777777" w:rsidR="00DD2B35" w:rsidRDefault="00DD2B35" w:rsidP="00DD2B35">
            <w:pPr>
              <w:spacing w:before="115" w:after="86" w:line="240" w:lineRule="auto"/>
              <w:rPr>
                <w:rFonts w:eastAsia="MS Mincho"/>
              </w:rPr>
            </w:pPr>
          </w:p>
        </w:tc>
      </w:tr>
      <w:tr w:rsidR="00DD2B35" w14:paraId="5579A037" w14:textId="77777777" w:rsidTr="00C90CCD">
        <w:tc>
          <w:tcPr>
            <w:tcW w:w="1699" w:type="dxa"/>
          </w:tcPr>
          <w:p w14:paraId="605F9D41" w14:textId="42F639BF" w:rsidR="00DD2B35" w:rsidRDefault="00DD2B35" w:rsidP="00BE01DC">
            <w:pPr>
              <w:spacing w:before="115" w:after="86" w:line="240" w:lineRule="auto"/>
              <w:rPr>
                <w:rFonts w:eastAsia="MS Mincho"/>
                <w:b/>
                <w:sz w:val="20"/>
              </w:rPr>
            </w:pPr>
            <w:r w:rsidRPr="00094707">
              <w:t>FR-2.6: Configurable parameters</w:t>
            </w:r>
          </w:p>
        </w:tc>
        <w:tc>
          <w:tcPr>
            <w:tcW w:w="4240" w:type="dxa"/>
          </w:tcPr>
          <w:p w14:paraId="4F20BE6C" w14:textId="7B123CE9" w:rsidR="00DD2B35" w:rsidRDefault="00DD2B35" w:rsidP="00DD2B35">
            <w:pPr>
              <w:spacing w:before="115" w:after="86" w:line="240" w:lineRule="auto"/>
              <w:rPr>
                <w:rFonts w:eastAsia="MS Mincho"/>
                <w:sz w:val="20"/>
              </w:rPr>
            </w:pPr>
            <w:r w:rsidRPr="00DD2B35">
              <w:rPr>
                <w:sz w:val="20"/>
                <w:szCs w:val="20"/>
              </w:rPr>
              <w:t>Where deduplication or business rules depend on parameters that may change (such as the ANOFM cutover date or the DDCM and SIAAS boundary year), parameters shall be configurable without code changes. ANOFM and CNDDCM may adjust these parameters after go-live.</w:t>
            </w:r>
          </w:p>
        </w:tc>
        <w:tc>
          <w:tcPr>
            <w:tcW w:w="3421" w:type="dxa"/>
            <w:vAlign w:val="center"/>
          </w:tcPr>
          <w:p w14:paraId="36362015" w14:textId="77777777" w:rsidR="00DD2B35" w:rsidRDefault="00DD2B35" w:rsidP="00DD2B35">
            <w:pPr>
              <w:spacing w:before="115" w:after="86" w:line="240" w:lineRule="auto"/>
              <w:rPr>
                <w:rFonts w:eastAsia="MS Mincho"/>
              </w:rPr>
            </w:pPr>
          </w:p>
        </w:tc>
      </w:tr>
      <w:tr w:rsidR="00C37704" w14:paraId="01F49CA9" w14:textId="77777777" w:rsidTr="00C90CCD">
        <w:tc>
          <w:tcPr>
            <w:tcW w:w="1699" w:type="dxa"/>
          </w:tcPr>
          <w:p w14:paraId="04613803" w14:textId="7C87E204" w:rsidR="00C37704" w:rsidRDefault="00C37704" w:rsidP="00BE01DC">
            <w:pPr>
              <w:spacing w:before="115" w:after="86" w:line="240" w:lineRule="auto"/>
              <w:rPr>
                <w:rFonts w:eastAsia="MS Mincho"/>
                <w:b/>
                <w:sz w:val="20"/>
              </w:rPr>
            </w:pPr>
            <w:r w:rsidRPr="00D03E42">
              <w:t>FR-2.7: Silver auto-</w:t>
            </w:r>
            <w:r w:rsidRPr="00D03E42">
              <w:lastRenderedPageBreak/>
              <w:t>propagation for additive changes</w:t>
            </w:r>
          </w:p>
        </w:tc>
        <w:tc>
          <w:tcPr>
            <w:tcW w:w="4240" w:type="dxa"/>
          </w:tcPr>
          <w:p w14:paraId="20AE7713" w14:textId="28575CCD" w:rsidR="00C37704" w:rsidRDefault="00C37704" w:rsidP="00C37704">
            <w:pPr>
              <w:spacing w:before="115" w:after="86" w:line="240" w:lineRule="auto"/>
              <w:rPr>
                <w:rFonts w:eastAsia="MS Mincho"/>
                <w:sz w:val="20"/>
              </w:rPr>
            </w:pPr>
            <w:r w:rsidRPr="00C37704">
              <w:rPr>
                <w:sz w:val="20"/>
                <w:szCs w:val="20"/>
              </w:rPr>
              <w:lastRenderedPageBreak/>
              <w:t xml:space="preserve">For additive Bronze schema changes (new tables, new nullable columns), the Silver layer shall offer </w:t>
            </w:r>
            <w:r w:rsidRPr="00C37704">
              <w:rPr>
                <w:sz w:val="20"/>
                <w:szCs w:val="20"/>
              </w:rPr>
              <w:lastRenderedPageBreak/>
              <w:t>a parametrised pass-through mechanism that allows the DWH administrator to propagate the new structure to Silver without code change, using configuration only. Non-additive changes (type changes, column removals, deduplication rule changes) require explicit transformation model updates by the Contractor or DCSI team and remain out of scope for auto-propagation.</w:t>
            </w:r>
          </w:p>
        </w:tc>
        <w:tc>
          <w:tcPr>
            <w:tcW w:w="3421" w:type="dxa"/>
            <w:vAlign w:val="center"/>
          </w:tcPr>
          <w:p w14:paraId="601ADF47" w14:textId="77777777" w:rsidR="00C37704" w:rsidRDefault="00C37704" w:rsidP="00C37704">
            <w:pPr>
              <w:spacing w:before="115" w:after="86" w:line="240" w:lineRule="auto"/>
              <w:rPr>
                <w:rFonts w:eastAsia="MS Mincho"/>
              </w:rPr>
            </w:pPr>
          </w:p>
        </w:tc>
      </w:tr>
      <w:tr w:rsidR="009D257E" w14:paraId="3F04A2B1" w14:textId="77777777" w:rsidTr="00C90CCD">
        <w:tc>
          <w:tcPr>
            <w:tcW w:w="1699" w:type="dxa"/>
          </w:tcPr>
          <w:p w14:paraId="17AFC118" w14:textId="61187231" w:rsidR="009D257E" w:rsidRDefault="009D257E" w:rsidP="00BE01DC">
            <w:pPr>
              <w:spacing w:before="115" w:after="86" w:line="240" w:lineRule="auto"/>
            </w:pPr>
            <w:r w:rsidRPr="00FE2CAE">
              <w:t>FR-2.8: Cross-system normalisation in Silver</w:t>
            </w:r>
          </w:p>
        </w:tc>
        <w:tc>
          <w:tcPr>
            <w:tcW w:w="4240" w:type="dxa"/>
          </w:tcPr>
          <w:p w14:paraId="7246BB57" w14:textId="77777777" w:rsidR="00CD016E" w:rsidRPr="00827F2C" w:rsidRDefault="00CD016E" w:rsidP="00CD016E">
            <w:pPr>
              <w:spacing w:before="115" w:after="86" w:line="240" w:lineRule="auto"/>
              <w:rPr>
                <w:sz w:val="20"/>
                <w:szCs w:val="20"/>
              </w:rPr>
            </w:pPr>
            <w:r w:rsidRPr="00827F2C">
              <w:rPr>
                <w:sz w:val="20"/>
                <w:szCs w:val="20"/>
              </w:rPr>
              <w:t>The Silver layer shall normalise heterogeneous source representations into canonical formats to enable cross-system joins and analysis. The Contractor shall implement, at minimum:</w:t>
            </w:r>
          </w:p>
          <w:p w14:paraId="4775102F" w14:textId="4A88C1DD" w:rsidR="00CD016E" w:rsidRPr="00827F2C" w:rsidRDefault="00CD016E" w:rsidP="00CD016E">
            <w:pPr>
              <w:spacing w:before="115" w:after="86" w:line="240" w:lineRule="auto"/>
              <w:rPr>
                <w:sz w:val="20"/>
                <w:szCs w:val="20"/>
              </w:rPr>
            </w:pPr>
            <w:r w:rsidRPr="00827F2C">
              <w:rPr>
                <w:sz w:val="20"/>
                <w:szCs w:val="20"/>
              </w:rPr>
              <w:t>•Identifier normalisation. IDNP (13-digit national identifier) shall be cast to VARCHAR(13) NOT NULL with leading-zero padding regardless of source representation (numeric in SIAAS and EMFM, text in eSocial, DDCM, and Jobless). Persons without IDNP shall receive a synthetic identifier with format defined during the inception period.Person name normalisation. First-name and surname columns shall be standardised to a canonical schema regardless of source language (Nume/Prenume in Romanian-language sources, firstName/lastName in English-language sources). The mapping per source system shall be documented in the field-level mapping deliverable.</w:t>
            </w:r>
          </w:p>
          <w:p w14:paraId="10BD55EF" w14:textId="54CFFF7A" w:rsidR="009D257E" w:rsidRPr="00827F2C" w:rsidRDefault="00CD016E" w:rsidP="00CD016E">
            <w:pPr>
              <w:spacing w:before="115" w:after="86" w:line="240" w:lineRule="auto"/>
              <w:rPr>
                <w:sz w:val="20"/>
                <w:szCs w:val="20"/>
              </w:rPr>
            </w:pPr>
            <w:r w:rsidRPr="00827F2C">
              <w:rPr>
                <w:sz w:val="20"/>
                <w:szCs w:val="20"/>
              </w:rPr>
              <w:t>•Address normalisation. Addresses shall be stored in a structured format (street, locality, territorial unit code) regardless of source representation. Sources storing addresses as composite text strings shall have their values parsed into structured fields during Silver transformation, with territorial code matching as the resolution rule.</w:t>
            </w:r>
          </w:p>
          <w:p w14:paraId="04E50E0A" w14:textId="1A29E8AD" w:rsidR="00827F2C" w:rsidRPr="00827F2C" w:rsidRDefault="00827F2C" w:rsidP="00827F2C">
            <w:pPr>
              <w:spacing w:before="115" w:after="86" w:line="240" w:lineRule="auto"/>
              <w:rPr>
                <w:sz w:val="20"/>
                <w:szCs w:val="20"/>
              </w:rPr>
            </w:pPr>
            <w:r w:rsidRPr="00827F2C">
              <w:rPr>
                <w:sz w:val="20"/>
                <w:szCs w:val="20"/>
              </w:rPr>
              <w:t>•Gender and sex normalisation. Gender and sex values shall be normalised to a canonical enumeration (M, F, U for unknown or not specified) regardless of source encoding (integer, string, foreign-key reference). Source-specific concordance is defined per system.iProfession code normalisation. Profession codes shall be normalised through concordance tables per source system to align with the canonical occupation classification used in dim_profession.</w:t>
            </w:r>
          </w:p>
          <w:p w14:paraId="625857A5" w14:textId="3F4D790E" w:rsidR="00827F2C" w:rsidRPr="00827F2C" w:rsidRDefault="00827F2C" w:rsidP="00827F2C">
            <w:pPr>
              <w:spacing w:before="115" w:after="86" w:line="240" w:lineRule="auto"/>
              <w:rPr>
                <w:sz w:val="20"/>
                <w:szCs w:val="20"/>
              </w:rPr>
            </w:pPr>
            <w:r w:rsidRPr="00827F2C">
              <w:rPr>
                <w:sz w:val="20"/>
                <w:szCs w:val="20"/>
              </w:rPr>
              <w:t>•Status and lifecycle normalisation. Case status values shall be normalised to a canonical lifecycle vocabulary (New, Active, Approved, Rejected, Closed) with per-source concordance maintained as configurable mapping tables.</w:t>
            </w:r>
          </w:p>
          <w:p w14:paraId="72272FC0" w14:textId="74F6E8CA" w:rsidR="00827F2C" w:rsidRPr="00827F2C" w:rsidRDefault="00827F2C" w:rsidP="00827F2C">
            <w:pPr>
              <w:spacing w:before="115" w:after="86" w:line="240" w:lineRule="auto"/>
              <w:rPr>
                <w:sz w:val="20"/>
                <w:szCs w:val="20"/>
              </w:rPr>
            </w:pPr>
            <w:r w:rsidRPr="00827F2C">
              <w:rPr>
                <w:sz w:val="20"/>
                <w:szCs w:val="20"/>
              </w:rPr>
              <w:t xml:space="preserve">•Multilingual label handling. Where source </w:t>
            </w:r>
            <w:r w:rsidRPr="00827F2C">
              <w:rPr>
                <w:sz w:val="20"/>
                <w:szCs w:val="20"/>
              </w:rPr>
              <w:lastRenderedPageBreak/>
              <w:t>systems carry labels in multiple languages (EMFM in 3 languages, DDCM in 2, eSocial in 1), the Silver layer shall preserve all available language variants in canonical Romanian, Russian, and English columns. Sources providing fewer language variants shall populate available variants only, missing variants shall be NULL rather than translated.</w:t>
            </w:r>
          </w:p>
          <w:p w14:paraId="645FDEA5" w14:textId="3254A97D" w:rsidR="00827F2C" w:rsidRPr="00827F2C" w:rsidRDefault="00827F2C" w:rsidP="00827F2C">
            <w:pPr>
              <w:spacing w:before="115" w:after="86" w:line="240" w:lineRule="auto"/>
              <w:rPr>
                <w:sz w:val="20"/>
                <w:szCs w:val="20"/>
              </w:rPr>
            </w:pPr>
            <w:r w:rsidRPr="00827F2C">
              <w:rPr>
                <w:sz w:val="20"/>
                <w:szCs w:val="20"/>
              </w:rPr>
              <w:t>•Date and timestamp normalisation. All dates and timestamps shall be stored in UTC with explicit timezone metadata where the source provides timezone information. Sources storing local times without timezone shall be assumed to be Europe/Chisinau.</w:t>
            </w:r>
          </w:p>
          <w:p w14:paraId="464F48AD" w14:textId="4CED508F" w:rsidR="00CD016E" w:rsidRDefault="00827F2C" w:rsidP="00827F2C">
            <w:pPr>
              <w:spacing w:before="115" w:after="86" w:line="240" w:lineRule="auto"/>
            </w:pPr>
            <w:r w:rsidRPr="00827F2C">
              <w:rPr>
                <w:sz w:val="20"/>
                <w:szCs w:val="20"/>
              </w:rPr>
              <w:t>The Contractor shall document all normalisation rules in the field-level source-to-target mapping deliverable (FR-3.4) and surface the concordance tables in the data catalog (FR-2.5).</w:t>
            </w:r>
          </w:p>
        </w:tc>
        <w:tc>
          <w:tcPr>
            <w:tcW w:w="3421" w:type="dxa"/>
            <w:vAlign w:val="center"/>
          </w:tcPr>
          <w:p w14:paraId="62486C05" w14:textId="77777777" w:rsidR="009D257E" w:rsidRDefault="009D257E" w:rsidP="009D257E">
            <w:pPr>
              <w:spacing w:before="115" w:after="86" w:line="240" w:lineRule="auto"/>
              <w:rPr>
                <w:rFonts w:eastAsia="MS Mincho"/>
              </w:rPr>
            </w:pPr>
          </w:p>
        </w:tc>
      </w:tr>
    </w:tbl>
    <w:p w14:paraId="4101652C" w14:textId="77777777" w:rsidR="003906A8" w:rsidRDefault="003906A8">
      <w:pPr>
        <w:spacing w:after="80"/>
        <w:rPr>
          <w:b/>
        </w:rPr>
      </w:pPr>
    </w:p>
    <w:p w14:paraId="3461D779" w14:textId="13F17BD1" w:rsidR="003906A8" w:rsidRDefault="00E06036">
      <w:pPr>
        <w:pStyle w:val="Heading2"/>
        <w:rPr>
          <w:rFonts w:ascii="Calibri" w:hAnsi="Calibri"/>
        </w:rPr>
      </w:pPr>
      <w:bookmarkStart w:id="2" w:name="_Toc236911026"/>
      <w:r w:rsidRPr="00DE3F81">
        <w:rPr>
          <w:color w:val="243F60" w:themeColor="accent1" w:themeShade="7F"/>
          <w:sz w:val="24"/>
          <w:szCs w:val="22"/>
          <w:lang w:val="en-GB"/>
        </w:rPr>
        <w:t>3. Data Model and Star Schema</w:t>
      </w:r>
      <w:bookmarkEnd w:id="2"/>
    </w:p>
    <w:p w14:paraId="67BCB436" w14:textId="3B8B35F2" w:rsidR="009156CC" w:rsidRPr="00DE3F81" w:rsidRDefault="009156CC"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Cs/>
          <w:color w:val="232425"/>
          <w:lang w:val="en-GB"/>
        </w:rPr>
      </w:pPr>
      <w:r w:rsidRPr="00DE3F81">
        <w:rPr>
          <w:b/>
          <w:color w:val="232425"/>
          <w:lang w:val="en-GB"/>
        </w:rPr>
        <w:t>Procedure name</w:t>
      </w:r>
      <w:r w:rsidRPr="00DE3F81">
        <w:rPr>
          <w:bCs/>
          <w:color w:val="232425"/>
          <w:lang w:val="en-GB"/>
        </w:rPr>
        <w:t>: Population of the Gold layer dimensional model</w:t>
      </w:r>
    </w:p>
    <w:p w14:paraId="1F61C619" w14:textId="09B6B06A" w:rsidR="009156CC" w:rsidRPr="00DE3F81" w:rsidRDefault="009156CC"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0"/>
        <w:rPr>
          <w:bCs/>
          <w:color w:val="232425"/>
          <w:lang w:val="en-GB"/>
        </w:rPr>
      </w:pPr>
      <w:r w:rsidRPr="00DE3F81">
        <w:rPr>
          <w:b/>
          <w:color w:val="232425"/>
          <w:lang w:val="en-GB"/>
        </w:rPr>
        <w:t>Description</w:t>
      </w:r>
      <w:r w:rsidRPr="00DE3F81">
        <w:rPr>
          <w:bCs/>
          <w:color w:val="232425"/>
          <w:lang w:val="en-GB"/>
        </w:rPr>
        <w:t>: The process by which the cleaned Silver data is conformed into a star schema in the Gold layer, with shared dimensions and five business-domain fact tables, supporting cross-programme analytics.</w:t>
      </w:r>
    </w:p>
    <w:p w14:paraId="04F972EB" w14:textId="77777777" w:rsidR="009156CC" w:rsidRPr="00DE3F81" w:rsidRDefault="009156CC"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Cs/>
          <w:color w:val="232425"/>
          <w:lang w:val="en-GB"/>
        </w:rPr>
      </w:pPr>
    </w:p>
    <w:p w14:paraId="70BA5FEF" w14:textId="77777777" w:rsidR="009156CC" w:rsidRPr="00DE3F81" w:rsidRDefault="009156CC"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color w:val="232425"/>
          <w:lang w:val="en-GB"/>
        </w:rPr>
      </w:pPr>
      <w:r w:rsidRPr="00DE3F81">
        <w:rPr>
          <w:b/>
          <w:color w:val="232425"/>
          <w:lang w:val="en-GB"/>
        </w:rPr>
        <w:t>List of functional requirements:</w:t>
      </w:r>
    </w:p>
    <w:tbl>
      <w:tblPr>
        <w:tblStyle w:val="TableGrid"/>
        <w:tblW w:w="9360" w:type="dxa"/>
        <w:tblInd w:w="105" w:type="dxa"/>
        <w:tblLayout w:type="fixed"/>
        <w:tblLook w:val="04A0" w:firstRow="1" w:lastRow="0" w:firstColumn="1" w:lastColumn="0" w:noHBand="0" w:noVBand="1"/>
      </w:tblPr>
      <w:tblGrid>
        <w:gridCol w:w="1699"/>
        <w:gridCol w:w="4240"/>
        <w:gridCol w:w="3421"/>
      </w:tblGrid>
      <w:tr w:rsidR="003906A8" w14:paraId="597B13AB" w14:textId="77777777">
        <w:tc>
          <w:tcPr>
            <w:tcW w:w="1699" w:type="dxa"/>
            <w:shd w:val="clear" w:color="auto" w:fill="E7E6E6"/>
            <w:vAlign w:val="center"/>
          </w:tcPr>
          <w:p w14:paraId="34032E85" w14:textId="41F02F56" w:rsidR="003906A8" w:rsidRDefault="00AB2916" w:rsidP="00BE01DC">
            <w:pPr>
              <w:spacing w:before="86" w:after="86" w:line="240" w:lineRule="auto"/>
            </w:pPr>
            <w:r>
              <w:rPr>
                <w:rFonts w:eastAsia="MS Mincho"/>
                <w:b/>
                <w:sz w:val="20"/>
              </w:rPr>
              <w:t>Requirement ID</w:t>
            </w:r>
          </w:p>
        </w:tc>
        <w:tc>
          <w:tcPr>
            <w:tcW w:w="4240" w:type="dxa"/>
            <w:shd w:val="clear" w:color="auto" w:fill="E7E6E6"/>
            <w:vAlign w:val="center"/>
          </w:tcPr>
          <w:p w14:paraId="55527BB7" w14:textId="77777777" w:rsidR="003906A8" w:rsidRDefault="008F5A93">
            <w:pPr>
              <w:spacing w:before="86" w:after="86" w:line="240" w:lineRule="auto"/>
              <w:jc w:val="center"/>
            </w:pPr>
            <w:r>
              <w:rPr>
                <w:rFonts w:eastAsia="MS Mincho"/>
                <w:b/>
                <w:sz w:val="20"/>
              </w:rPr>
              <w:t>Explanation</w:t>
            </w:r>
          </w:p>
        </w:tc>
        <w:tc>
          <w:tcPr>
            <w:tcW w:w="3421" w:type="dxa"/>
            <w:shd w:val="clear" w:color="auto" w:fill="E7E6E6"/>
            <w:vAlign w:val="center"/>
          </w:tcPr>
          <w:p w14:paraId="7BBC1A6F"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B67C99" w14:paraId="6DC37A36" w14:textId="77777777">
        <w:tc>
          <w:tcPr>
            <w:tcW w:w="1699" w:type="dxa"/>
            <w:vAlign w:val="center"/>
          </w:tcPr>
          <w:p w14:paraId="289C1567" w14:textId="4DA87BB0" w:rsidR="00B67C99" w:rsidRDefault="00B67C99" w:rsidP="00BE01DC">
            <w:pPr>
              <w:spacing w:before="86" w:after="86" w:line="240" w:lineRule="auto"/>
            </w:pPr>
            <w:r w:rsidRPr="00DE3F81">
              <w:rPr>
                <w:bCs/>
                <w:color w:val="232425"/>
                <w:lang w:val="en-GB"/>
              </w:rPr>
              <w:t>FR-3.1: Five Gold fact tables</w:t>
            </w:r>
          </w:p>
        </w:tc>
        <w:tc>
          <w:tcPr>
            <w:tcW w:w="4240" w:type="dxa"/>
            <w:vAlign w:val="center"/>
          </w:tcPr>
          <w:p w14:paraId="07C24113" w14:textId="6A799D2A" w:rsidR="00B67C99" w:rsidRDefault="00B67C99" w:rsidP="00B67C99">
            <w:pPr>
              <w:spacing w:before="86" w:after="86" w:line="240" w:lineRule="auto"/>
            </w:pPr>
            <w:r w:rsidRPr="00DE3F81">
              <w:rPr>
                <w:bCs/>
                <w:color w:val="232425"/>
                <w:sz w:val="20"/>
                <w:szCs w:val="20"/>
                <w:lang w:val="en-GB"/>
              </w:rPr>
              <w:t>The Contractor shall populate five Gold layer fact tables corresponding to the five business domains: energy compensation, disability determination, labour migration, unemployment registration, and child protection. Each fact table records the measurable events of its domain at the appropriate grain. Specific table and column names are the Contractor's responsibility, following the naming conventions in FR-3.6.</w:t>
            </w:r>
          </w:p>
        </w:tc>
        <w:tc>
          <w:tcPr>
            <w:tcW w:w="3421" w:type="dxa"/>
            <w:vAlign w:val="center"/>
          </w:tcPr>
          <w:p w14:paraId="3CF2D8B6" w14:textId="77777777" w:rsidR="00B67C99" w:rsidRDefault="00B67C99" w:rsidP="00B67C99">
            <w:pPr>
              <w:spacing w:before="86" w:after="86" w:line="240" w:lineRule="auto"/>
              <w:rPr>
                <w:rFonts w:eastAsia="MS Mincho"/>
              </w:rPr>
            </w:pPr>
          </w:p>
        </w:tc>
      </w:tr>
      <w:tr w:rsidR="002B57C9" w14:paraId="004595C1" w14:textId="77777777">
        <w:tc>
          <w:tcPr>
            <w:tcW w:w="1699" w:type="dxa"/>
            <w:vAlign w:val="center"/>
          </w:tcPr>
          <w:p w14:paraId="0AC4E62D" w14:textId="1CC8705B" w:rsidR="002B57C9" w:rsidRPr="00DC1A12" w:rsidRDefault="002B57C9" w:rsidP="00BE01DC">
            <w:pPr>
              <w:spacing w:before="86" w:after="86" w:line="240" w:lineRule="auto"/>
              <w:rPr>
                <w:bCs/>
                <w:color w:val="232425"/>
                <w:lang w:val="en-GB"/>
              </w:rPr>
            </w:pPr>
            <w:r w:rsidRPr="00DE3F81">
              <w:rPr>
                <w:bCs/>
                <w:color w:val="232425"/>
                <w:lang w:val="en-GB"/>
              </w:rPr>
              <w:t>FR-3.2: Shared dimension tables</w:t>
            </w:r>
          </w:p>
        </w:tc>
        <w:tc>
          <w:tcPr>
            <w:tcW w:w="4240" w:type="dxa"/>
            <w:vAlign w:val="center"/>
          </w:tcPr>
          <w:p w14:paraId="3EBF0897" w14:textId="508B26FA" w:rsidR="002B57C9" w:rsidRPr="00B67C99" w:rsidRDefault="002B57C9" w:rsidP="002B57C9">
            <w:pPr>
              <w:spacing w:before="86" w:after="86" w:line="240" w:lineRule="auto"/>
              <w:rPr>
                <w:bCs/>
                <w:color w:val="232425"/>
                <w:sz w:val="20"/>
                <w:szCs w:val="20"/>
                <w:lang w:val="en-GB"/>
              </w:rPr>
            </w:pPr>
            <w:r w:rsidRPr="00DE3F81">
              <w:rPr>
                <w:bCs/>
                <w:color w:val="232425"/>
                <w:sz w:val="20"/>
                <w:szCs w:val="20"/>
                <w:lang w:val="en-GB"/>
              </w:rPr>
              <w:t xml:space="preserve">The Gold layer shall include shared dimensions covering person, household, territory, organisation, date, profession, and programme. Person and organisation reference data shall be sourced from the canonical eSocial MConnect response store using IDNP as the universal join </w:t>
            </w:r>
            <w:r w:rsidRPr="00DE3F81">
              <w:rPr>
                <w:bCs/>
                <w:color w:val="232425"/>
                <w:sz w:val="20"/>
                <w:szCs w:val="20"/>
                <w:lang w:val="en-GB"/>
              </w:rPr>
              <w:lastRenderedPageBreak/>
              <w:t>key. Specific table and column names are the Contractor's responsibility, following the naming conventions in FR-3.6.</w:t>
            </w:r>
          </w:p>
        </w:tc>
        <w:tc>
          <w:tcPr>
            <w:tcW w:w="3421" w:type="dxa"/>
            <w:vAlign w:val="center"/>
          </w:tcPr>
          <w:p w14:paraId="41B96431" w14:textId="77777777" w:rsidR="002B57C9" w:rsidRDefault="002B57C9" w:rsidP="002B57C9">
            <w:pPr>
              <w:spacing w:before="86" w:after="86" w:line="240" w:lineRule="auto"/>
              <w:rPr>
                <w:rFonts w:eastAsia="MS Mincho"/>
              </w:rPr>
            </w:pPr>
          </w:p>
        </w:tc>
      </w:tr>
      <w:tr w:rsidR="003913AA" w14:paraId="3E7E3C0D" w14:textId="77777777">
        <w:tc>
          <w:tcPr>
            <w:tcW w:w="1699" w:type="dxa"/>
            <w:vAlign w:val="center"/>
          </w:tcPr>
          <w:p w14:paraId="426221BC" w14:textId="72D39024" w:rsidR="003913AA" w:rsidRPr="00DC1A12" w:rsidRDefault="003913AA" w:rsidP="00BE01DC">
            <w:pPr>
              <w:spacing w:before="86" w:after="86" w:line="240" w:lineRule="auto"/>
              <w:rPr>
                <w:bCs/>
                <w:color w:val="232425"/>
                <w:lang w:val="en-GB"/>
              </w:rPr>
            </w:pPr>
            <w:r w:rsidRPr="00DE3F81">
              <w:rPr>
                <w:bCs/>
                <w:color w:val="232425"/>
                <w:lang w:val="en-GB"/>
              </w:rPr>
              <w:t>FR-3.3: Bridge tables</w:t>
            </w:r>
          </w:p>
        </w:tc>
        <w:tc>
          <w:tcPr>
            <w:tcW w:w="4240" w:type="dxa"/>
            <w:vAlign w:val="center"/>
          </w:tcPr>
          <w:p w14:paraId="49B5126C" w14:textId="394DB0C9" w:rsidR="003913AA" w:rsidRPr="00B67C99" w:rsidRDefault="003913AA" w:rsidP="003913AA">
            <w:pPr>
              <w:spacing w:before="86" w:after="86" w:line="240" w:lineRule="auto"/>
              <w:rPr>
                <w:bCs/>
                <w:color w:val="232425"/>
                <w:sz w:val="20"/>
                <w:szCs w:val="20"/>
                <w:lang w:val="en-GB"/>
              </w:rPr>
            </w:pPr>
            <w:r w:rsidRPr="00DE3F81">
              <w:rPr>
                <w:bCs/>
                <w:color w:val="232425"/>
                <w:sz w:val="20"/>
                <w:szCs w:val="20"/>
                <w:lang w:val="en-GB"/>
              </w:rPr>
              <w:t>Bridge tables shall be populated for many-to-many relationships, including a person-to-programme bridge to support cross-programme analytics across the five domains, and a household-to-person bridge to link persons to households over time. Specific table and column names are the Contractor's responsibility, following the naming conventions in FR-3.6.</w:t>
            </w:r>
          </w:p>
        </w:tc>
        <w:tc>
          <w:tcPr>
            <w:tcW w:w="3421" w:type="dxa"/>
            <w:vAlign w:val="center"/>
          </w:tcPr>
          <w:p w14:paraId="42908D01" w14:textId="77777777" w:rsidR="003913AA" w:rsidRDefault="003913AA" w:rsidP="003913AA">
            <w:pPr>
              <w:spacing w:before="86" w:after="86" w:line="240" w:lineRule="auto"/>
              <w:rPr>
                <w:rFonts w:eastAsia="MS Mincho"/>
              </w:rPr>
            </w:pPr>
          </w:p>
        </w:tc>
      </w:tr>
      <w:tr w:rsidR="00143F2A" w14:paraId="2D67B573" w14:textId="77777777">
        <w:tc>
          <w:tcPr>
            <w:tcW w:w="1699" w:type="dxa"/>
            <w:vAlign w:val="center"/>
          </w:tcPr>
          <w:p w14:paraId="6975E93C" w14:textId="6B6FA325" w:rsidR="00143F2A" w:rsidRPr="00DC1A12" w:rsidRDefault="00143F2A" w:rsidP="00BE01DC">
            <w:pPr>
              <w:spacing w:before="86" w:after="86" w:line="240" w:lineRule="auto"/>
              <w:rPr>
                <w:bCs/>
                <w:color w:val="232425"/>
                <w:lang w:val="en-GB"/>
              </w:rPr>
            </w:pPr>
            <w:r w:rsidRPr="00DE3F81">
              <w:rPr>
                <w:bCs/>
                <w:color w:val="232425"/>
                <w:lang w:val="en-GB"/>
              </w:rPr>
              <w:t>FR-3.4: Field-level mapping</w:t>
            </w:r>
          </w:p>
        </w:tc>
        <w:tc>
          <w:tcPr>
            <w:tcW w:w="4240" w:type="dxa"/>
            <w:vAlign w:val="center"/>
          </w:tcPr>
          <w:p w14:paraId="6B817FB5" w14:textId="34D2C4D1" w:rsidR="00143F2A" w:rsidRPr="00B67C99" w:rsidRDefault="00143F2A" w:rsidP="00143F2A">
            <w:pPr>
              <w:spacing w:before="86" w:after="86" w:line="240" w:lineRule="auto"/>
              <w:rPr>
                <w:bCs/>
                <w:color w:val="232425"/>
                <w:sz w:val="20"/>
                <w:szCs w:val="20"/>
                <w:lang w:val="en-GB"/>
              </w:rPr>
            </w:pPr>
            <w:r w:rsidRPr="00DE3F81">
              <w:rPr>
                <w:bCs/>
                <w:color w:val="232425"/>
                <w:sz w:val="20"/>
                <w:szCs w:val="20"/>
                <w:lang w:val="en-GB"/>
              </w:rPr>
              <w:t>The Contractor shall deliver a field-level source to target mapping document for each fact and dimension table during the inception period. Field-level mapping is the Contractor's responsibility.</w:t>
            </w:r>
          </w:p>
        </w:tc>
        <w:tc>
          <w:tcPr>
            <w:tcW w:w="3421" w:type="dxa"/>
            <w:vAlign w:val="center"/>
          </w:tcPr>
          <w:p w14:paraId="620D2595" w14:textId="77777777" w:rsidR="00143F2A" w:rsidRDefault="00143F2A" w:rsidP="00143F2A">
            <w:pPr>
              <w:spacing w:before="86" w:after="86" w:line="240" w:lineRule="auto"/>
              <w:rPr>
                <w:rFonts w:eastAsia="MS Mincho"/>
              </w:rPr>
            </w:pPr>
          </w:p>
        </w:tc>
      </w:tr>
      <w:tr w:rsidR="0000192D" w14:paraId="7D0D8231" w14:textId="77777777">
        <w:tc>
          <w:tcPr>
            <w:tcW w:w="1699" w:type="dxa"/>
            <w:vAlign w:val="center"/>
          </w:tcPr>
          <w:p w14:paraId="5921D1B3" w14:textId="10935C4E" w:rsidR="0000192D" w:rsidRPr="00DC1A12" w:rsidRDefault="0000192D" w:rsidP="00BE01DC">
            <w:pPr>
              <w:spacing w:before="86" w:after="86" w:line="240" w:lineRule="auto"/>
              <w:rPr>
                <w:bCs/>
                <w:color w:val="232425"/>
                <w:lang w:val="en-GB"/>
              </w:rPr>
            </w:pPr>
            <w:r w:rsidRPr="00DE3F81">
              <w:rPr>
                <w:bCs/>
                <w:color w:val="232425"/>
                <w:lang w:val="en-GB"/>
              </w:rPr>
              <w:t>FR-3.5: Surrogate keys and slowly changing dimensions</w:t>
            </w:r>
          </w:p>
        </w:tc>
        <w:tc>
          <w:tcPr>
            <w:tcW w:w="4240" w:type="dxa"/>
            <w:vAlign w:val="center"/>
          </w:tcPr>
          <w:p w14:paraId="017695C0" w14:textId="0048CFAB" w:rsidR="0000192D" w:rsidRPr="00B67C99" w:rsidRDefault="0000192D" w:rsidP="0000192D">
            <w:pPr>
              <w:spacing w:before="86" w:after="86" w:line="240" w:lineRule="auto"/>
              <w:rPr>
                <w:bCs/>
                <w:color w:val="232425"/>
                <w:sz w:val="20"/>
                <w:szCs w:val="20"/>
                <w:lang w:val="en-GB"/>
              </w:rPr>
            </w:pPr>
            <w:r w:rsidRPr="00DE3F81">
              <w:rPr>
                <w:bCs/>
                <w:color w:val="232425"/>
                <w:sz w:val="20"/>
                <w:szCs w:val="20"/>
                <w:lang w:val="en-GB"/>
              </w:rPr>
              <w:t>Each dimension shall use a surrogate key (column suffix _sk) and shall preserve the natural key (column suffix _nk). The Contractor shall implement Type 2 slowly changing dimensions for the person and organisation dimensions to preserve historical context where required by analytical use cases.</w:t>
            </w:r>
          </w:p>
        </w:tc>
        <w:tc>
          <w:tcPr>
            <w:tcW w:w="3421" w:type="dxa"/>
            <w:vAlign w:val="center"/>
          </w:tcPr>
          <w:p w14:paraId="3D5B926F" w14:textId="77777777" w:rsidR="0000192D" w:rsidRDefault="0000192D" w:rsidP="0000192D">
            <w:pPr>
              <w:spacing w:before="86" w:after="86" w:line="240" w:lineRule="auto"/>
              <w:rPr>
                <w:rFonts w:eastAsia="MS Mincho"/>
              </w:rPr>
            </w:pPr>
          </w:p>
        </w:tc>
      </w:tr>
      <w:tr w:rsidR="00CA18FA" w14:paraId="22B6944C" w14:textId="77777777">
        <w:tc>
          <w:tcPr>
            <w:tcW w:w="1699" w:type="dxa"/>
            <w:vAlign w:val="center"/>
          </w:tcPr>
          <w:p w14:paraId="4CD50D6E" w14:textId="5E15006B" w:rsidR="00CA18FA" w:rsidRDefault="00CA18FA" w:rsidP="00BE01DC">
            <w:pPr>
              <w:spacing w:before="86" w:after="86" w:line="240" w:lineRule="auto"/>
            </w:pPr>
            <w:r w:rsidRPr="00DE3F81">
              <w:rPr>
                <w:bCs/>
                <w:color w:val="232425"/>
                <w:lang w:val="en-GB"/>
              </w:rPr>
              <w:t>FR-3.6: Naming conventions</w:t>
            </w:r>
          </w:p>
        </w:tc>
        <w:tc>
          <w:tcPr>
            <w:tcW w:w="4240" w:type="dxa"/>
            <w:vAlign w:val="center"/>
          </w:tcPr>
          <w:p w14:paraId="100F1919" w14:textId="1D33975A" w:rsidR="00CA18FA" w:rsidRDefault="00CA18FA" w:rsidP="00CA18FA">
            <w:pPr>
              <w:spacing w:before="86" w:after="86" w:line="240" w:lineRule="auto"/>
            </w:pPr>
            <w:r w:rsidRPr="00DE3F81">
              <w:rPr>
                <w:bCs/>
                <w:color w:val="232425"/>
                <w:sz w:val="20"/>
                <w:szCs w:val="20"/>
                <w:lang w:val="en-GB"/>
              </w:rPr>
              <w:t>The Contractor shall publish a naming conventions document before the first dataset goes live, covering schema naming (such as bronze_[system], silver, gold), table naming (dim_[entity], fact_[event], bridge_[relationship]), column naming (snake_case, _sk for surrogate keys, _nk for natural keys, _at suffix for timestamps, _flag for booleans, _code for coded values), transformation model naming, and pipeline DAG naming.</w:t>
            </w:r>
          </w:p>
        </w:tc>
        <w:tc>
          <w:tcPr>
            <w:tcW w:w="3421" w:type="dxa"/>
            <w:vAlign w:val="center"/>
          </w:tcPr>
          <w:p w14:paraId="0FB78278" w14:textId="77777777" w:rsidR="00CA18FA" w:rsidRDefault="00CA18FA" w:rsidP="00CA18FA">
            <w:pPr>
              <w:spacing w:before="86" w:after="86" w:line="240" w:lineRule="auto"/>
              <w:rPr>
                <w:rFonts w:eastAsia="MS Mincho"/>
              </w:rPr>
            </w:pPr>
          </w:p>
        </w:tc>
      </w:tr>
    </w:tbl>
    <w:p w14:paraId="1FC39945" w14:textId="77777777" w:rsidR="003906A8" w:rsidRDefault="003906A8">
      <w:pPr>
        <w:spacing w:after="80"/>
        <w:rPr>
          <w:b/>
        </w:rPr>
      </w:pPr>
    </w:p>
    <w:p w14:paraId="6EEC4A29" w14:textId="296837AC" w:rsidR="00167DB0" w:rsidRPr="00DE3F81" w:rsidRDefault="00167DB0" w:rsidP="00DE3F81">
      <w:pPr>
        <w:pStyle w:val="Heading3"/>
        <w:rPr>
          <w:b w:val="0"/>
          <w:color w:val="243F60" w:themeColor="accent1" w:themeShade="7F"/>
          <w:sz w:val="24"/>
          <w:szCs w:val="24"/>
          <w:lang w:val="en-GB"/>
        </w:rPr>
      </w:pPr>
      <w:bookmarkStart w:id="3" w:name="_Toc236911027"/>
      <w:r w:rsidRPr="00DE3F81">
        <w:rPr>
          <w:rFonts w:ascii="Calibri" w:eastAsiaTheme="minorEastAsia" w:hAnsi="Calibri"/>
          <w:b w:val="0"/>
          <w:color w:val="243F60" w:themeColor="accent1" w:themeShade="7F"/>
          <w:sz w:val="24"/>
          <w:szCs w:val="28"/>
          <w:lang w:val="en-GB"/>
        </w:rPr>
        <w:t>4. Consumption Layer</w:t>
      </w:r>
      <w:bookmarkStart w:id="4" w:name="_heading=h.3saolak61rk9" w:colFirst="0" w:colLast="0"/>
      <w:bookmarkEnd w:id="3"/>
      <w:bookmarkEnd w:id="4"/>
    </w:p>
    <w:p w14:paraId="79E5FEDA" w14:textId="77777777" w:rsidR="00167DB0" w:rsidRPr="00DE3F81" w:rsidRDefault="00167DB0" w:rsidP="00167DB0">
      <w:pPr>
        <w:rPr>
          <w:lang w:val="en-GB"/>
        </w:rPr>
      </w:pPr>
      <w:r w:rsidRPr="00DE3F81">
        <w:rPr>
          <w:b/>
          <w:bCs/>
          <w:lang w:val="en-GB"/>
        </w:rPr>
        <w:t>Procedure name:</w:t>
      </w:r>
      <w:r w:rsidRPr="00DE3F81">
        <w:rPr>
          <w:lang w:val="en-GB"/>
        </w:rPr>
        <w:t xml:space="preserve"> Delivery of governed analytical data to consumers</w:t>
      </w:r>
    </w:p>
    <w:p w14:paraId="076EEA0F" w14:textId="77777777" w:rsidR="00167DB0" w:rsidRPr="00DE3F81" w:rsidRDefault="00167DB0" w:rsidP="00167DB0">
      <w:pPr>
        <w:rPr>
          <w:lang w:val="en-GB"/>
        </w:rPr>
      </w:pPr>
      <w:r w:rsidRPr="00DE3F81">
        <w:rPr>
          <w:b/>
          <w:bCs/>
          <w:lang w:val="en-GB"/>
        </w:rPr>
        <w:t>Description</w:t>
      </w:r>
      <w:r w:rsidRPr="00DE3F81">
        <w:rPr>
          <w:lang w:val="en-GB"/>
        </w:rPr>
        <w:t>: The process by which Gold layer data is delivered to authorised consumers through four mandatory channels: dashboards, REST API, Kafka events, and batch exports.</w:t>
      </w:r>
    </w:p>
    <w:p w14:paraId="4515F47A" w14:textId="77777777" w:rsidR="00167DB0" w:rsidRPr="00DE3F81" w:rsidRDefault="00167DB0" w:rsidP="00167DB0">
      <w:pPr>
        <w:rPr>
          <w:lang w:val="en-GB"/>
        </w:rPr>
      </w:pPr>
      <w:r w:rsidRPr="00DE3F81">
        <w:rPr>
          <w:lang w:val="en-GB"/>
        </w:rPr>
        <w:t>All four consumption components (Dashboards, API, Events, Batch) are mandatory Contractor deliverables. None may be deferred to a post go-live backlog.</w:t>
      </w:r>
    </w:p>
    <w:p w14:paraId="47BC8DC2" w14:textId="77777777" w:rsidR="00167DB0" w:rsidRDefault="00167DB0">
      <w:pPr>
        <w:spacing w:after="80"/>
        <w:rPr>
          <w:b/>
        </w:rPr>
      </w:pPr>
    </w:p>
    <w:p w14:paraId="3D5452DC" w14:textId="77777777" w:rsidR="003906A8" w:rsidRDefault="008F5A93">
      <w:pPr>
        <w:spacing w:after="80"/>
      </w:pPr>
      <w:r>
        <w:rPr>
          <w:b/>
        </w:rPr>
        <w:t>List of 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24A17C8C" w14:textId="77777777">
        <w:tc>
          <w:tcPr>
            <w:tcW w:w="1699" w:type="dxa"/>
            <w:shd w:val="clear" w:color="auto" w:fill="E7E6E6"/>
            <w:vAlign w:val="center"/>
          </w:tcPr>
          <w:p w14:paraId="68ED5B0B" w14:textId="77777777" w:rsidR="003906A8" w:rsidRDefault="008F5A93" w:rsidP="00BE01DC">
            <w:pPr>
              <w:spacing w:before="86" w:after="115" w:line="240" w:lineRule="auto"/>
            </w:pPr>
            <w:r>
              <w:rPr>
                <w:rFonts w:eastAsia="MS Mincho"/>
                <w:b/>
                <w:sz w:val="20"/>
              </w:rPr>
              <w:t>Requirement ID</w:t>
            </w:r>
          </w:p>
        </w:tc>
        <w:tc>
          <w:tcPr>
            <w:tcW w:w="4253" w:type="dxa"/>
            <w:shd w:val="clear" w:color="auto" w:fill="E7E6E6"/>
            <w:vAlign w:val="center"/>
          </w:tcPr>
          <w:p w14:paraId="0B0A2FF6" w14:textId="77777777" w:rsidR="003906A8" w:rsidRDefault="008F5A93">
            <w:pPr>
              <w:spacing w:before="86" w:after="115" w:line="240" w:lineRule="auto"/>
              <w:jc w:val="center"/>
            </w:pPr>
            <w:r>
              <w:rPr>
                <w:rFonts w:eastAsia="MS Mincho"/>
                <w:b/>
                <w:sz w:val="20"/>
              </w:rPr>
              <w:t>Explanation</w:t>
            </w:r>
          </w:p>
        </w:tc>
        <w:tc>
          <w:tcPr>
            <w:tcW w:w="3408" w:type="dxa"/>
            <w:shd w:val="clear" w:color="auto" w:fill="E7E6E6"/>
            <w:vAlign w:val="center"/>
          </w:tcPr>
          <w:p w14:paraId="3890DC47" w14:textId="77777777" w:rsidR="003906A8" w:rsidRDefault="008F5A93">
            <w:pPr>
              <w:spacing w:before="86" w:after="115" w:line="240" w:lineRule="auto"/>
            </w:pPr>
            <w:r>
              <w:rPr>
                <w:rFonts w:cstheme="minorHAnsi"/>
                <w:b/>
                <w:bCs/>
                <w:color w:val="232425"/>
                <w:sz w:val="20"/>
              </w:rPr>
              <w:t xml:space="preserve">Descriptions and references of the proposed solution meeting the </w:t>
            </w:r>
            <w:r>
              <w:rPr>
                <w:rFonts w:cstheme="minorHAnsi"/>
                <w:b/>
                <w:bCs/>
                <w:color w:val="232425"/>
                <w:sz w:val="20"/>
              </w:rPr>
              <w:lastRenderedPageBreak/>
              <w:t>requirements (including reference to the relevant pages from the proposal)</w:t>
            </w:r>
          </w:p>
        </w:tc>
      </w:tr>
      <w:tr w:rsidR="00AB2916" w14:paraId="6D63E9F9" w14:textId="77777777" w:rsidTr="00DF4277">
        <w:tc>
          <w:tcPr>
            <w:tcW w:w="1699" w:type="dxa"/>
            <w:vAlign w:val="center"/>
          </w:tcPr>
          <w:p w14:paraId="0BF5E712" w14:textId="3B43ACBD" w:rsidR="00AB2916" w:rsidRDefault="00AB2916" w:rsidP="00BE01DC">
            <w:pPr>
              <w:spacing w:before="86" w:after="115" w:line="240" w:lineRule="auto"/>
              <w:rPr>
                <w:rFonts w:eastAsia="MS Mincho"/>
                <w:b/>
                <w:sz w:val="20"/>
              </w:rPr>
            </w:pPr>
            <w:r w:rsidRPr="00DE3F81">
              <w:rPr>
                <w:lang w:val="en-GB"/>
              </w:rPr>
              <w:lastRenderedPageBreak/>
              <w:t>FR-4.1: Dashboards</w:t>
            </w:r>
          </w:p>
        </w:tc>
        <w:tc>
          <w:tcPr>
            <w:tcW w:w="4253" w:type="dxa"/>
            <w:vAlign w:val="center"/>
          </w:tcPr>
          <w:p w14:paraId="73AE4DB7" w14:textId="2E46ABA6" w:rsidR="00AB2916" w:rsidRDefault="00AB2916" w:rsidP="00AB2916">
            <w:pPr>
              <w:spacing w:before="86" w:after="115" w:line="240" w:lineRule="auto"/>
              <w:rPr>
                <w:rFonts w:eastAsia="MS Mincho"/>
                <w:b/>
                <w:sz w:val="20"/>
              </w:rPr>
            </w:pPr>
            <w:r w:rsidRPr="00DE3F81">
              <w:rPr>
                <w:sz w:val="20"/>
                <w:szCs w:val="20"/>
                <w:lang w:val="en-GB"/>
              </w:rPr>
              <w:t>An open-source business intelligence platform shall be deployed with at least one production dashboard per business domain by the end of Phase 5. Each domain dashboard shall include, at minimum, the indicative content listed in FR-4.1.1. The final scope of each report, including specific visualisations, filters, additional metrics, and acceptance criteria, shall be defined and validated jointly with MLSP, DCSI, and the relevant domain stakeholders during the inception period and refined during the implementation phase.</w:t>
            </w:r>
          </w:p>
        </w:tc>
        <w:tc>
          <w:tcPr>
            <w:tcW w:w="3408" w:type="dxa"/>
            <w:vAlign w:val="center"/>
          </w:tcPr>
          <w:p w14:paraId="00E85DD2" w14:textId="77777777" w:rsidR="00AB2916" w:rsidRDefault="00AB2916" w:rsidP="00AB2916">
            <w:pPr>
              <w:spacing w:before="86" w:after="115" w:line="240" w:lineRule="auto"/>
              <w:rPr>
                <w:rFonts w:cstheme="minorHAnsi"/>
                <w:b/>
                <w:bCs/>
                <w:color w:val="232425"/>
                <w:sz w:val="20"/>
              </w:rPr>
            </w:pPr>
          </w:p>
        </w:tc>
      </w:tr>
      <w:tr w:rsidR="00245A85" w14:paraId="6EE4E8A8" w14:textId="77777777" w:rsidTr="00DF4277">
        <w:tc>
          <w:tcPr>
            <w:tcW w:w="1699" w:type="dxa"/>
            <w:vAlign w:val="center"/>
          </w:tcPr>
          <w:p w14:paraId="01897B5A" w14:textId="097359E5" w:rsidR="00245A85" w:rsidRDefault="00245A85" w:rsidP="00BE01DC">
            <w:pPr>
              <w:spacing w:before="86" w:after="115" w:line="240" w:lineRule="auto"/>
              <w:rPr>
                <w:rFonts w:eastAsia="MS Mincho"/>
                <w:b/>
                <w:sz w:val="20"/>
              </w:rPr>
            </w:pPr>
            <w:r w:rsidRPr="00DE3F81">
              <w:rPr>
                <w:lang w:val="en-GB"/>
              </w:rPr>
              <w:t>FR-4.1.1:  Indicative dashboard content</w:t>
            </w:r>
          </w:p>
        </w:tc>
        <w:tc>
          <w:tcPr>
            <w:tcW w:w="4253" w:type="dxa"/>
            <w:vAlign w:val="center"/>
          </w:tcPr>
          <w:p w14:paraId="294C564C" w14:textId="77777777" w:rsidR="00245A85" w:rsidRPr="00DE3F81" w:rsidRDefault="00245A85" w:rsidP="002E0373">
            <w:pPr>
              <w:rPr>
                <w:sz w:val="20"/>
                <w:szCs w:val="20"/>
                <w:lang w:val="en-GB"/>
              </w:rPr>
            </w:pPr>
            <w:r w:rsidRPr="00DE3F81">
              <w:rPr>
                <w:sz w:val="20"/>
                <w:szCs w:val="20"/>
                <w:lang w:val="en-GB"/>
              </w:rPr>
              <w:t>The following indicative content represents the minimum analytical capability per domain. Final dashboard scope is confirmed with stakeholders during implementation.</w:t>
            </w:r>
          </w:p>
          <w:p w14:paraId="70976C9C" w14:textId="77777777" w:rsidR="00245A85" w:rsidRPr="00DE3F81" w:rsidRDefault="00245A85" w:rsidP="002E0373">
            <w:pPr>
              <w:pStyle w:val="ListParagraph"/>
              <w:numPr>
                <w:ilvl w:val="1"/>
                <w:numId w:val="24"/>
              </w:numPr>
              <w:suppressAutoHyphens w:val="0"/>
              <w:spacing w:after="160" w:line="259" w:lineRule="auto"/>
              <w:ind w:left="939"/>
              <w:rPr>
                <w:sz w:val="20"/>
                <w:szCs w:val="20"/>
                <w:lang w:val="en-GB"/>
              </w:rPr>
            </w:pPr>
            <w:r w:rsidRPr="00DE3F81">
              <w:rPr>
                <w:sz w:val="20"/>
                <w:szCs w:val="20"/>
                <w:lang w:val="en-GB"/>
              </w:rPr>
              <w:t>Energy compensation: number of households compensated, total compensation paid by period and territory, vulnerability index distribution, rejection rate, average processing time.</w:t>
            </w:r>
          </w:p>
          <w:p w14:paraId="7C2E960D" w14:textId="77777777" w:rsidR="00245A85" w:rsidRPr="00DE3F81" w:rsidRDefault="00245A85" w:rsidP="002E0373">
            <w:pPr>
              <w:pStyle w:val="ListParagraph"/>
              <w:numPr>
                <w:ilvl w:val="1"/>
                <w:numId w:val="24"/>
              </w:numPr>
              <w:suppressAutoHyphens w:val="0"/>
              <w:spacing w:after="160" w:line="259" w:lineRule="auto"/>
              <w:ind w:left="939"/>
              <w:rPr>
                <w:sz w:val="20"/>
                <w:szCs w:val="20"/>
                <w:lang w:val="en-GB"/>
              </w:rPr>
            </w:pPr>
            <w:r w:rsidRPr="00DE3F81">
              <w:rPr>
                <w:sz w:val="20"/>
                <w:szCs w:val="20"/>
                <w:lang w:val="en-GB"/>
              </w:rPr>
              <w:t>Disability determination: number of assessments by decision type, approval rate, average assessment duration, breakdown by disability category, age, and territory.</w:t>
            </w:r>
          </w:p>
          <w:p w14:paraId="223F7AD1" w14:textId="77777777" w:rsidR="00245A85" w:rsidRPr="00DE3F81" w:rsidRDefault="00245A85" w:rsidP="002E0373">
            <w:pPr>
              <w:pStyle w:val="ListParagraph"/>
              <w:numPr>
                <w:ilvl w:val="1"/>
                <w:numId w:val="24"/>
              </w:numPr>
              <w:suppressAutoHyphens w:val="0"/>
              <w:spacing w:after="160" w:line="259" w:lineRule="auto"/>
              <w:ind w:left="939"/>
              <w:rPr>
                <w:sz w:val="20"/>
                <w:szCs w:val="20"/>
                <w:lang w:val="en-GB"/>
              </w:rPr>
            </w:pPr>
            <w:r w:rsidRPr="00DE3F81">
              <w:rPr>
                <w:sz w:val="20"/>
                <w:szCs w:val="20"/>
                <w:lang w:val="en-GB"/>
              </w:rPr>
              <w:t>Labour migration: number of permits issued by destination country, breakdown by profession and origin territory, permit duration distribution, return rate.</w:t>
            </w:r>
          </w:p>
          <w:p w14:paraId="785774C5" w14:textId="77777777" w:rsidR="00245A85" w:rsidRPr="00DE3F81" w:rsidRDefault="00245A85" w:rsidP="002E0373">
            <w:pPr>
              <w:pStyle w:val="ListParagraph"/>
              <w:numPr>
                <w:ilvl w:val="1"/>
                <w:numId w:val="24"/>
              </w:numPr>
              <w:suppressAutoHyphens w:val="0"/>
              <w:spacing w:after="160" w:line="259" w:lineRule="auto"/>
              <w:ind w:left="939"/>
              <w:rPr>
                <w:sz w:val="20"/>
                <w:szCs w:val="20"/>
                <w:lang w:val="en-GB"/>
              </w:rPr>
            </w:pPr>
            <w:r w:rsidRPr="00DE3F81">
              <w:rPr>
                <w:sz w:val="20"/>
                <w:szCs w:val="20"/>
                <w:lang w:val="en-GB"/>
              </w:rPr>
              <w:t>Unemployment registration: number of registered unemployed, average registration duration, exit reasons (employed, training, other), breakdown by territory and profession, benefit payment volume.</w:t>
            </w:r>
          </w:p>
          <w:p w14:paraId="4E27A965" w14:textId="77777777" w:rsidR="00245A85" w:rsidRPr="00DE3F81" w:rsidRDefault="00245A85" w:rsidP="002E0373">
            <w:pPr>
              <w:pStyle w:val="ListParagraph"/>
              <w:numPr>
                <w:ilvl w:val="1"/>
                <w:numId w:val="24"/>
              </w:numPr>
              <w:suppressAutoHyphens w:val="0"/>
              <w:spacing w:after="160" w:line="259" w:lineRule="auto"/>
              <w:ind w:left="939"/>
              <w:rPr>
                <w:sz w:val="20"/>
                <w:szCs w:val="20"/>
                <w:lang w:val="en-GB"/>
              </w:rPr>
            </w:pPr>
            <w:r w:rsidRPr="00DE3F81">
              <w:rPr>
                <w:sz w:val="20"/>
                <w:szCs w:val="20"/>
                <w:lang w:val="en-GB"/>
              </w:rPr>
              <w:t>Child protection: number of active cases by type, average case duration, case closure outcomes, breakdown by territory and intervention type.</w:t>
            </w:r>
          </w:p>
          <w:p w14:paraId="629A5D08" w14:textId="77777777" w:rsidR="00245A85" w:rsidRPr="00DE3F81" w:rsidRDefault="00245A85" w:rsidP="002E0373">
            <w:pPr>
              <w:pStyle w:val="ListParagraph"/>
              <w:numPr>
                <w:ilvl w:val="1"/>
                <w:numId w:val="24"/>
              </w:numPr>
              <w:suppressAutoHyphens w:val="0"/>
              <w:spacing w:after="160" w:line="259" w:lineRule="auto"/>
              <w:ind w:left="939"/>
              <w:rPr>
                <w:sz w:val="20"/>
                <w:szCs w:val="20"/>
                <w:lang w:val="en-GB"/>
              </w:rPr>
            </w:pPr>
            <w:r w:rsidRPr="00DE3F81">
              <w:rPr>
                <w:sz w:val="20"/>
                <w:szCs w:val="20"/>
                <w:lang w:val="en-GB"/>
              </w:rPr>
              <w:t>Cross-programme overlap: number of beneficiaries receiving multiple programmes simultaneously, by programme combination and territory.</w:t>
            </w:r>
          </w:p>
          <w:p w14:paraId="124DE6E4" w14:textId="56EFF7D6" w:rsidR="00245A85" w:rsidRPr="00245A85" w:rsidRDefault="00245A85" w:rsidP="002E0373">
            <w:pPr>
              <w:spacing w:before="86" w:after="115" w:line="240" w:lineRule="auto"/>
              <w:rPr>
                <w:rFonts w:eastAsia="MS Mincho"/>
                <w:b/>
                <w:sz w:val="20"/>
                <w:szCs w:val="20"/>
              </w:rPr>
            </w:pPr>
            <w:r w:rsidRPr="00DE3F81">
              <w:rPr>
                <w:sz w:val="20"/>
                <w:szCs w:val="20"/>
                <w:lang w:val="en-GB"/>
              </w:rPr>
              <w:t xml:space="preserve">Specific visualisations, filters, and additional </w:t>
            </w:r>
            <w:r w:rsidRPr="00DE3F81">
              <w:rPr>
                <w:sz w:val="20"/>
                <w:szCs w:val="20"/>
                <w:lang w:val="en-GB"/>
              </w:rPr>
              <w:lastRenderedPageBreak/>
              <w:t>metrics are the Contractor's responsibility, defined jointly with MLSP, DCSI, and the relevant domain stakeholders during the inception period and refined during the implementation phase.</w:t>
            </w:r>
          </w:p>
        </w:tc>
        <w:tc>
          <w:tcPr>
            <w:tcW w:w="3408" w:type="dxa"/>
            <w:vAlign w:val="center"/>
          </w:tcPr>
          <w:p w14:paraId="519F7F56" w14:textId="77777777" w:rsidR="00245A85" w:rsidRDefault="00245A85" w:rsidP="00245A85">
            <w:pPr>
              <w:spacing w:before="86" w:after="115" w:line="240" w:lineRule="auto"/>
              <w:rPr>
                <w:rFonts w:cstheme="minorHAnsi"/>
                <w:b/>
                <w:bCs/>
                <w:color w:val="232425"/>
                <w:sz w:val="20"/>
              </w:rPr>
            </w:pPr>
          </w:p>
        </w:tc>
      </w:tr>
      <w:tr w:rsidR="002E0373" w14:paraId="2AD1EF72" w14:textId="77777777" w:rsidTr="00DF4277">
        <w:tc>
          <w:tcPr>
            <w:tcW w:w="1699" w:type="dxa"/>
            <w:vAlign w:val="center"/>
          </w:tcPr>
          <w:p w14:paraId="578CC3BB" w14:textId="37D0EB2F" w:rsidR="002E0373" w:rsidRDefault="002E0373" w:rsidP="00BE01DC">
            <w:pPr>
              <w:spacing w:before="86" w:after="115" w:line="240" w:lineRule="auto"/>
              <w:rPr>
                <w:rFonts w:eastAsia="MS Mincho"/>
                <w:b/>
                <w:sz w:val="20"/>
              </w:rPr>
            </w:pPr>
            <w:r w:rsidRPr="00DE3F81">
              <w:rPr>
                <w:lang w:val="en-GB"/>
              </w:rPr>
              <w:t>FR-4.2: OWA.DataWarehouse.Api (generic endpoint pattern)</w:t>
            </w:r>
          </w:p>
        </w:tc>
        <w:tc>
          <w:tcPr>
            <w:tcW w:w="4253" w:type="dxa"/>
            <w:vAlign w:val="center"/>
          </w:tcPr>
          <w:p w14:paraId="4E3DD2CC" w14:textId="64DB46AF" w:rsidR="002E0373" w:rsidRDefault="002E0373" w:rsidP="002E0373">
            <w:pPr>
              <w:spacing w:before="86" w:after="115" w:line="240" w:lineRule="auto"/>
              <w:rPr>
                <w:rFonts w:eastAsia="MS Mincho"/>
                <w:b/>
                <w:sz w:val="20"/>
              </w:rPr>
            </w:pPr>
            <w:r w:rsidRPr="00DE3F81">
              <w:rPr>
                <w:sz w:val="20"/>
                <w:szCs w:val="20"/>
                <w:lang w:val="en-GB"/>
              </w:rPr>
              <w:t>REST and GraphQL endpoints shall expose all Gold layer datasets through a single generic endpoint pattern. Each Gold table (dimensions, facts, bridge tables) is queryable through the same endpoint with dataset name as a path parameter. The Contractor does not build separate endpoints per dataset or per report. The API reads Gold table metadata from PostgreSQL and generates response models dynamically. When new Gold tables are added, the API exposes them without additional code. The OpenAPI specification is auto-generated from this metadata. Authentication via the existing eSocial identity provider (MPass and OAuth 2.0). Pagination, filtering, sorting, and field selection shall be supported. Versioning shall be enforced.</w:t>
            </w:r>
          </w:p>
        </w:tc>
        <w:tc>
          <w:tcPr>
            <w:tcW w:w="3408" w:type="dxa"/>
            <w:vAlign w:val="center"/>
          </w:tcPr>
          <w:p w14:paraId="34CCAB3C" w14:textId="77777777" w:rsidR="002E0373" w:rsidRDefault="002E0373" w:rsidP="002E0373">
            <w:pPr>
              <w:spacing w:before="86" w:after="115" w:line="240" w:lineRule="auto"/>
              <w:rPr>
                <w:rFonts w:cstheme="minorHAnsi"/>
                <w:b/>
                <w:bCs/>
                <w:color w:val="232425"/>
                <w:sz w:val="20"/>
              </w:rPr>
            </w:pPr>
          </w:p>
        </w:tc>
      </w:tr>
      <w:tr w:rsidR="00B6054B" w14:paraId="032668E3" w14:textId="77777777" w:rsidTr="00DF4277">
        <w:tc>
          <w:tcPr>
            <w:tcW w:w="1699" w:type="dxa"/>
            <w:vAlign w:val="center"/>
          </w:tcPr>
          <w:p w14:paraId="2E0DD229" w14:textId="43FF3DB4" w:rsidR="00B6054B" w:rsidRDefault="00B6054B" w:rsidP="00BE01DC">
            <w:pPr>
              <w:spacing w:before="86" w:after="115" w:line="240" w:lineRule="auto"/>
              <w:rPr>
                <w:rFonts w:eastAsia="MS Mincho"/>
                <w:b/>
                <w:sz w:val="20"/>
              </w:rPr>
            </w:pPr>
            <w:r w:rsidRPr="00DE3F81">
              <w:rPr>
                <w:lang w:val="en-GB"/>
              </w:rPr>
              <w:t>FR-4.3: OWA.DataWarehouse.Events</w:t>
            </w:r>
          </w:p>
        </w:tc>
        <w:tc>
          <w:tcPr>
            <w:tcW w:w="4253" w:type="dxa"/>
            <w:vAlign w:val="center"/>
          </w:tcPr>
          <w:p w14:paraId="63443D7E" w14:textId="31EEE9CC" w:rsidR="00B6054B" w:rsidRDefault="00B6054B" w:rsidP="00B6054B">
            <w:pPr>
              <w:spacing w:before="86" w:after="115" w:line="240" w:lineRule="auto"/>
              <w:rPr>
                <w:rFonts w:eastAsia="MS Mincho"/>
                <w:b/>
                <w:sz w:val="20"/>
              </w:rPr>
            </w:pPr>
            <w:r w:rsidRPr="00DE3F81">
              <w:rPr>
                <w:sz w:val="20"/>
                <w:szCs w:val="20"/>
                <w:lang w:val="en-GB"/>
              </w:rPr>
              <w:t>Kafka publishing shall trigger when the Gold layer refresh completes. Dedicated topic per Gold dataset that has registered OWA consumers. Event schemas managed through a schema registry with enforced backward compatibility. Delivery guarantee is at-least-once. Consumer subscription managed via the OWA.DataWarehouse.Events component. OWA modules that depend on fresh DWH data react to data changes without polling</w:t>
            </w:r>
            <w:r w:rsidRPr="00DE3F81">
              <w:rPr>
                <w:lang w:val="en-GB"/>
              </w:rPr>
              <w:t>.</w:t>
            </w:r>
          </w:p>
        </w:tc>
        <w:tc>
          <w:tcPr>
            <w:tcW w:w="3408" w:type="dxa"/>
            <w:vAlign w:val="center"/>
          </w:tcPr>
          <w:p w14:paraId="4BF7F95E" w14:textId="77777777" w:rsidR="00B6054B" w:rsidRDefault="00B6054B" w:rsidP="00B6054B">
            <w:pPr>
              <w:spacing w:before="86" w:after="115" w:line="240" w:lineRule="auto"/>
              <w:rPr>
                <w:rFonts w:cstheme="minorHAnsi"/>
                <w:b/>
                <w:bCs/>
                <w:color w:val="232425"/>
                <w:sz w:val="20"/>
              </w:rPr>
            </w:pPr>
          </w:p>
        </w:tc>
      </w:tr>
      <w:tr w:rsidR="008672D4" w14:paraId="10AAAC2D" w14:textId="77777777" w:rsidTr="00DF4277">
        <w:tc>
          <w:tcPr>
            <w:tcW w:w="1699" w:type="dxa"/>
            <w:vAlign w:val="center"/>
          </w:tcPr>
          <w:p w14:paraId="3BB3F8F8" w14:textId="1310A7BE" w:rsidR="008672D4" w:rsidRDefault="008672D4" w:rsidP="00BE01DC">
            <w:pPr>
              <w:spacing w:before="86" w:after="115" w:line="240" w:lineRule="auto"/>
              <w:rPr>
                <w:rFonts w:eastAsia="MS Mincho"/>
                <w:b/>
                <w:sz w:val="20"/>
              </w:rPr>
            </w:pPr>
            <w:r w:rsidRPr="00DE3F81">
              <w:rPr>
                <w:lang w:val="en-GB"/>
              </w:rPr>
              <w:t>FR-4.4: OWA.DataWarehouse.Batch</w:t>
            </w:r>
          </w:p>
        </w:tc>
        <w:tc>
          <w:tcPr>
            <w:tcW w:w="4253" w:type="dxa"/>
            <w:vAlign w:val="center"/>
          </w:tcPr>
          <w:p w14:paraId="02632467" w14:textId="00FFDEB2" w:rsidR="008672D4" w:rsidRDefault="008672D4" w:rsidP="008672D4">
            <w:pPr>
              <w:spacing w:before="86" w:after="115" w:line="240" w:lineRule="auto"/>
              <w:rPr>
                <w:rFonts w:eastAsia="MS Mincho"/>
                <w:b/>
                <w:sz w:val="20"/>
              </w:rPr>
            </w:pPr>
            <w:r w:rsidRPr="00DE3F81">
              <w:rPr>
                <w:sz w:val="20"/>
                <w:szCs w:val="20"/>
                <w:lang w:val="en-GB"/>
              </w:rPr>
              <w:t>Scheduled exports in CSV, JSON, and a columnar format (Parquet or ORC) shall be delivered to shared storage or SFTP. On-demand export requests via REST API. Read-only partitioned views shall be available for downstream teams requiring direct access to subsets of Gold data. A dedicated export compute path shall avoid impacting live dashboard and API queries.</w:t>
            </w:r>
          </w:p>
        </w:tc>
        <w:tc>
          <w:tcPr>
            <w:tcW w:w="3408" w:type="dxa"/>
            <w:vAlign w:val="center"/>
          </w:tcPr>
          <w:p w14:paraId="307842E2" w14:textId="77777777" w:rsidR="008672D4" w:rsidRDefault="008672D4" w:rsidP="008672D4">
            <w:pPr>
              <w:spacing w:before="86" w:after="115" w:line="240" w:lineRule="auto"/>
              <w:rPr>
                <w:rFonts w:cstheme="minorHAnsi"/>
                <w:b/>
                <w:bCs/>
                <w:color w:val="232425"/>
                <w:sz w:val="20"/>
              </w:rPr>
            </w:pPr>
          </w:p>
        </w:tc>
      </w:tr>
      <w:tr w:rsidR="002D2735" w14:paraId="706B6987" w14:textId="77777777" w:rsidTr="00DF4277">
        <w:tc>
          <w:tcPr>
            <w:tcW w:w="1699" w:type="dxa"/>
            <w:vAlign w:val="center"/>
          </w:tcPr>
          <w:p w14:paraId="701D04B0" w14:textId="7582C78A" w:rsidR="002D2735" w:rsidRDefault="002D2735" w:rsidP="00BE01DC">
            <w:pPr>
              <w:spacing w:before="86" w:after="115" w:line="240" w:lineRule="auto"/>
              <w:rPr>
                <w:rFonts w:eastAsia="MS Mincho"/>
                <w:b/>
                <w:sz w:val="20"/>
              </w:rPr>
            </w:pPr>
            <w:r w:rsidRPr="00DE3F81">
              <w:rPr>
                <w:lang w:val="en-GB"/>
              </w:rPr>
              <w:t>FR-4.5: OWA.DataWarehouse.Sdk</w:t>
            </w:r>
          </w:p>
        </w:tc>
        <w:tc>
          <w:tcPr>
            <w:tcW w:w="4253" w:type="dxa"/>
            <w:vAlign w:val="center"/>
          </w:tcPr>
          <w:p w14:paraId="2449BB1E" w14:textId="352DF7C3" w:rsidR="002D2735" w:rsidRDefault="002D2735" w:rsidP="002D2735">
            <w:pPr>
              <w:spacing w:before="86" w:after="115" w:line="240" w:lineRule="auto"/>
              <w:rPr>
                <w:rFonts w:eastAsia="MS Mincho"/>
                <w:b/>
                <w:sz w:val="20"/>
              </w:rPr>
            </w:pPr>
            <w:r w:rsidRPr="00DE3F81">
              <w:rPr>
                <w:sz w:val="20"/>
                <w:szCs w:val="20"/>
                <w:lang w:val="en-GB"/>
              </w:rPr>
              <w:t>An SDK package shall be delivered for other OWA modules to consume DWH data without direct database access.</w:t>
            </w:r>
          </w:p>
        </w:tc>
        <w:tc>
          <w:tcPr>
            <w:tcW w:w="3408" w:type="dxa"/>
            <w:vAlign w:val="center"/>
          </w:tcPr>
          <w:p w14:paraId="3B9C2605" w14:textId="77777777" w:rsidR="002D2735" w:rsidRDefault="002D2735" w:rsidP="002D2735">
            <w:pPr>
              <w:spacing w:before="86" w:after="115" w:line="240" w:lineRule="auto"/>
              <w:rPr>
                <w:rFonts w:cstheme="minorHAnsi"/>
                <w:b/>
                <w:bCs/>
                <w:color w:val="232425"/>
                <w:sz w:val="20"/>
              </w:rPr>
            </w:pPr>
          </w:p>
        </w:tc>
      </w:tr>
      <w:tr w:rsidR="009D2234" w14:paraId="402EBC7D" w14:textId="77777777" w:rsidTr="00DF4277">
        <w:tc>
          <w:tcPr>
            <w:tcW w:w="1699" w:type="dxa"/>
            <w:vAlign w:val="center"/>
          </w:tcPr>
          <w:p w14:paraId="356AF46C" w14:textId="7FFABC51" w:rsidR="009D2234" w:rsidRDefault="009D2234" w:rsidP="00BE01DC">
            <w:pPr>
              <w:spacing w:before="86" w:after="115" w:line="240" w:lineRule="auto"/>
              <w:rPr>
                <w:rFonts w:eastAsia="MS Mincho"/>
                <w:b/>
                <w:sz w:val="20"/>
              </w:rPr>
            </w:pPr>
            <w:r w:rsidRPr="00DE3F81">
              <w:rPr>
                <w:lang w:val="en-GB"/>
              </w:rPr>
              <w:t>FR-4.6: OWA.DataWarehouse.Admin</w:t>
            </w:r>
          </w:p>
        </w:tc>
        <w:tc>
          <w:tcPr>
            <w:tcW w:w="4253" w:type="dxa"/>
            <w:vAlign w:val="center"/>
          </w:tcPr>
          <w:p w14:paraId="632FA042" w14:textId="51175B9F" w:rsidR="009D2234" w:rsidRDefault="009D2234" w:rsidP="009D2234">
            <w:pPr>
              <w:spacing w:before="86" w:after="115" w:line="240" w:lineRule="auto"/>
              <w:rPr>
                <w:rFonts w:eastAsia="MS Mincho"/>
                <w:b/>
                <w:sz w:val="20"/>
              </w:rPr>
            </w:pPr>
            <w:r w:rsidRPr="00DE3F81">
              <w:rPr>
                <w:sz w:val="20"/>
                <w:szCs w:val="20"/>
                <w:lang w:val="en-GB"/>
              </w:rPr>
              <w:t>Administration endpoints shall be provided for DWH operations: pipeline status, cache invalidation, tenant quota management, and schema contract versioning.</w:t>
            </w:r>
          </w:p>
        </w:tc>
        <w:tc>
          <w:tcPr>
            <w:tcW w:w="3408" w:type="dxa"/>
            <w:vAlign w:val="center"/>
          </w:tcPr>
          <w:p w14:paraId="3523F9B1" w14:textId="77777777" w:rsidR="009D2234" w:rsidRDefault="009D2234" w:rsidP="009D2234">
            <w:pPr>
              <w:spacing w:before="86" w:after="115" w:line="240" w:lineRule="auto"/>
              <w:rPr>
                <w:rFonts w:cstheme="minorHAnsi"/>
                <w:b/>
                <w:bCs/>
                <w:color w:val="232425"/>
                <w:sz w:val="20"/>
              </w:rPr>
            </w:pPr>
          </w:p>
        </w:tc>
      </w:tr>
      <w:tr w:rsidR="0027648B" w14:paraId="4CF758A1" w14:textId="77777777" w:rsidTr="00DF4277">
        <w:tc>
          <w:tcPr>
            <w:tcW w:w="1699" w:type="dxa"/>
            <w:vAlign w:val="center"/>
          </w:tcPr>
          <w:p w14:paraId="1CCC8CE4" w14:textId="77173F28" w:rsidR="0027648B" w:rsidRDefault="0027648B" w:rsidP="00BE01DC">
            <w:pPr>
              <w:spacing w:before="86" w:after="115" w:line="240" w:lineRule="auto"/>
              <w:rPr>
                <w:rFonts w:eastAsia="MS Mincho"/>
                <w:b/>
                <w:sz w:val="20"/>
              </w:rPr>
            </w:pPr>
            <w:r w:rsidRPr="00DE3F81">
              <w:rPr>
                <w:lang w:val="en-GB"/>
              </w:rPr>
              <w:t>FR-4.7: OWA.DataWare</w:t>
            </w:r>
            <w:r w:rsidRPr="00DE3F81">
              <w:rPr>
                <w:lang w:val="en-GB"/>
              </w:rPr>
              <w:lastRenderedPageBreak/>
              <w:t>house.Core</w:t>
            </w:r>
          </w:p>
        </w:tc>
        <w:tc>
          <w:tcPr>
            <w:tcW w:w="4253" w:type="dxa"/>
            <w:vAlign w:val="center"/>
          </w:tcPr>
          <w:p w14:paraId="6E45DAE5" w14:textId="51DEEAB9" w:rsidR="0027648B" w:rsidRDefault="0027648B" w:rsidP="0027648B">
            <w:pPr>
              <w:spacing w:before="86" w:after="115" w:line="240" w:lineRule="auto"/>
              <w:rPr>
                <w:rFonts w:eastAsia="MS Mincho"/>
                <w:b/>
                <w:sz w:val="20"/>
              </w:rPr>
            </w:pPr>
            <w:r w:rsidRPr="00DE3F81">
              <w:rPr>
                <w:sz w:val="20"/>
                <w:szCs w:val="20"/>
                <w:lang w:val="en-GB"/>
              </w:rPr>
              <w:lastRenderedPageBreak/>
              <w:t xml:space="preserve">Domain models, interfaces, and contracts shall be shared across the Api, Events, Batch, Sdk, and </w:t>
            </w:r>
            <w:r w:rsidRPr="00DE3F81">
              <w:rPr>
                <w:sz w:val="20"/>
                <w:szCs w:val="20"/>
                <w:lang w:val="en-GB"/>
              </w:rPr>
              <w:lastRenderedPageBreak/>
              <w:t>Admin components.</w:t>
            </w:r>
          </w:p>
        </w:tc>
        <w:tc>
          <w:tcPr>
            <w:tcW w:w="3408" w:type="dxa"/>
            <w:vAlign w:val="center"/>
          </w:tcPr>
          <w:p w14:paraId="08EB7BC1" w14:textId="77777777" w:rsidR="0027648B" w:rsidRDefault="0027648B" w:rsidP="0027648B">
            <w:pPr>
              <w:spacing w:before="86" w:after="115" w:line="240" w:lineRule="auto"/>
              <w:rPr>
                <w:rFonts w:cstheme="minorHAnsi"/>
                <w:b/>
                <w:bCs/>
                <w:color w:val="232425"/>
                <w:sz w:val="20"/>
              </w:rPr>
            </w:pPr>
          </w:p>
        </w:tc>
      </w:tr>
      <w:tr w:rsidR="00E90A90" w14:paraId="518A2CFA" w14:textId="77777777" w:rsidTr="00DF4277">
        <w:tc>
          <w:tcPr>
            <w:tcW w:w="1699" w:type="dxa"/>
            <w:vAlign w:val="center"/>
          </w:tcPr>
          <w:p w14:paraId="0DBD942A" w14:textId="50ADE725" w:rsidR="00E90A90" w:rsidRPr="00DC1A12" w:rsidRDefault="00E90A90" w:rsidP="00BE01DC">
            <w:pPr>
              <w:spacing w:before="86" w:after="115" w:line="240" w:lineRule="auto"/>
              <w:rPr>
                <w:lang w:val="en-GB"/>
              </w:rPr>
            </w:pPr>
            <w:r w:rsidRPr="00DE3F81">
              <w:rPr>
                <w:lang w:val="en-GB"/>
              </w:rPr>
              <w:t>FR-4.8: Module ownership and handover</w:t>
            </w:r>
          </w:p>
        </w:tc>
        <w:tc>
          <w:tcPr>
            <w:tcW w:w="4253" w:type="dxa"/>
            <w:vAlign w:val="center"/>
          </w:tcPr>
          <w:p w14:paraId="3CE9D2D8" w14:textId="3A895F6B" w:rsidR="00E90A90" w:rsidRPr="0027648B" w:rsidRDefault="00E90A90" w:rsidP="00E90A90">
            <w:pPr>
              <w:spacing w:before="86" w:after="115" w:line="240" w:lineRule="auto"/>
              <w:rPr>
                <w:sz w:val="20"/>
                <w:szCs w:val="20"/>
                <w:lang w:val="en-GB"/>
              </w:rPr>
            </w:pPr>
            <w:r w:rsidRPr="00DE3F81">
              <w:rPr>
                <w:sz w:val="20"/>
                <w:szCs w:val="20"/>
                <w:lang w:val="en-GB"/>
              </w:rPr>
              <w:t>The OWA.DataWarehouse module shall be delivered by the Contractor as a self-contained solution on the eSocial application stack. After acceptance, the OWA team owns and maintains the module. The Contractor delivers the module with documentation, code walkthrough, and knowledge transfer. The Contractor does not require ongoing access to the OWA codebase.</w:t>
            </w:r>
          </w:p>
        </w:tc>
        <w:tc>
          <w:tcPr>
            <w:tcW w:w="3408" w:type="dxa"/>
            <w:vAlign w:val="center"/>
          </w:tcPr>
          <w:p w14:paraId="714A7C29" w14:textId="77777777" w:rsidR="00E90A90" w:rsidRDefault="00E90A90" w:rsidP="00E90A90">
            <w:pPr>
              <w:spacing w:before="86" w:after="115" w:line="240" w:lineRule="auto"/>
              <w:rPr>
                <w:rFonts w:cstheme="minorHAnsi"/>
                <w:b/>
                <w:bCs/>
                <w:color w:val="232425"/>
                <w:sz w:val="20"/>
              </w:rPr>
            </w:pPr>
          </w:p>
        </w:tc>
      </w:tr>
      <w:tr w:rsidR="00AB6B57" w14:paraId="55CB7758" w14:textId="77777777">
        <w:tc>
          <w:tcPr>
            <w:tcW w:w="1699" w:type="dxa"/>
            <w:vAlign w:val="center"/>
          </w:tcPr>
          <w:p w14:paraId="20073C9B" w14:textId="23F5290C" w:rsidR="00AB6B57" w:rsidRDefault="00AB6B57" w:rsidP="00BE01DC">
            <w:pPr>
              <w:spacing w:before="86" w:after="115" w:line="240" w:lineRule="auto"/>
            </w:pPr>
            <w:r w:rsidRPr="00DE3F81">
              <w:rPr>
                <w:lang w:val="en-GB"/>
              </w:rPr>
              <w:t>FR-4.9: Query caching</w:t>
            </w:r>
          </w:p>
        </w:tc>
        <w:tc>
          <w:tcPr>
            <w:tcW w:w="4253" w:type="dxa"/>
            <w:vAlign w:val="center"/>
          </w:tcPr>
          <w:p w14:paraId="28922F5A" w14:textId="69326A38" w:rsidR="00AB6B57" w:rsidRDefault="00AB6B57" w:rsidP="00AB6B57">
            <w:pPr>
              <w:spacing w:before="86" w:after="115" w:line="240" w:lineRule="auto"/>
            </w:pPr>
            <w:r w:rsidRPr="00DE3F81">
              <w:rPr>
                <w:sz w:val="20"/>
                <w:szCs w:val="20"/>
                <w:lang w:val="en-GB"/>
              </w:rPr>
              <w:t>The Contractor shall document the caching strategy as part of the performance architecture. At minimum this shall include built-in query caching configuration for dashboard queries on the BI platform. For API consumption through the OWA.DataWarehouse module, the Contractor shall evaluate and implement an appropriate caching layer to reduce repeated expensive query execution.</w:t>
            </w:r>
          </w:p>
        </w:tc>
        <w:tc>
          <w:tcPr>
            <w:tcW w:w="3408" w:type="dxa"/>
            <w:vAlign w:val="center"/>
          </w:tcPr>
          <w:p w14:paraId="0562CB0E" w14:textId="77777777" w:rsidR="00AB6B57" w:rsidRDefault="00AB6B57" w:rsidP="00AB6B57">
            <w:pPr>
              <w:spacing w:before="86" w:after="115" w:line="240" w:lineRule="auto"/>
              <w:rPr>
                <w:rFonts w:eastAsia="MS Mincho"/>
              </w:rPr>
            </w:pPr>
          </w:p>
        </w:tc>
      </w:tr>
    </w:tbl>
    <w:p w14:paraId="55CB46C9" w14:textId="77777777" w:rsidR="004F478D" w:rsidRDefault="004F478D" w:rsidP="00AC60D4">
      <w:pPr>
        <w:rPr>
          <w:lang w:val="en-GB"/>
        </w:rPr>
      </w:pPr>
    </w:p>
    <w:p w14:paraId="55AEDAAD" w14:textId="3C34EF40" w:rsidR="004F478D" w:rsidRPr="00DE3F81" w:rsidRDefault="004F478D" w:rsidP="00DE3F81">
      <w:pPr>
        <w:pStyle w:val="Heading3"/>
        <w:keepNext w:val="0"/>
        <w:keepLines w:val="0"/>
        <w:widowControl w:val="0"/>
        <w:rPr>
          <w:color w:val="232425"/>
          <w:sz w:val="24"/>
          <w:szCs w:val="28"/>
          <w:lang w:val="en-GB"/>
        </w:rPr>
      </w:pPr>
      <w:r w:rsidRPr="004A5E6C">
        <w:rPr>
          <w:color w:val="243F60" w:themeColor="accent1" w:themeShade="7F"/>
          <w:sz w:val="24"/>
          <w:szCs w:val="28"/>
          <w:lang w:val="en-GB"/>
        </w:rPr>
        <w:t xml:space="preserve">5. </w:t>
      </w:r>
      <w:r w:rsidRPr="00DE3F81">
        <w:rPr>
          <w:color w:val="243F60" w:themeColor="accent1" w:themeShade="7F"/>
          <w:sz w:val="24"/>
          <w:szCs w:val="28"/>
          <w:lang w:val="en-GB"/>
        </w:rPr>
        <w:t>Orchestration and Monitoring</w:t>
      </w:r>
    </w:p>
    <w:p w14:paraId="3007FE9B" w14:textId="77777777" w:rsidR="004F478D" w:rsidRPr="00DE3F81" w:rsidRDefault="004F478D"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color w:val="232425"/>
          <w:lang w:val="en-GB"/>
        </w:rPr>
      </w:pPr>
      <w:bookmarkStart w:id="5" w:name="_heading=h.e569kv6e5p5p" w:colFirst="0" w:colLast="0"/>
      <w:bookmarkEnd w:id="5"/>
      <w:r w:rsidRPr="00DE3F81">
        <w:rPr>
          <w:b/>
          <w:bCs/>
          <w:color w:val="232425"/>
          <w:lang w:val="en-GB"/>
        </w:rPr>
        <w:t>Procedure name</w:t>
      </w:r>
      <w:r w:rsidRPr="00DE3F81">
        <w:rPr>
          <w:color w:val="232425"/>
          <w:lang w:val="en-GB"/>
        </w:rPr>
        <w:t>: Daily ETL orchestration and pipeline monitoring</w:t>
      </w:r>
    </w:p>
    <w:p w14:paraId="3DBF5F65" w14:textId="77777777" w:rsidR="004F478D" w:rsidRPr="00DE3F81" w:rsidRDefault="004F478D"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color w:val="232425"/>
          <w:lang w:val="en-GB"/>
        </w:rPr>
      </w:pPr>
      <w:r w:rsidRPr="00DE3F81">
        <w:rPr>
          <w:b/>
          <w:bCs/>
          <w:color w:val="232425"/>
          <w:lang w:val="en-GB"/>
        </w:rPr>
        <w:t>Description</w:t>
      </w:r>
      <w:r w:rsidRPr="00DE3F81">
        <w:rPr>
          <w:color w:val="232425"/>
          <w:lang w:val="en-GB"/>
        </w:rPr>
        <w:t>: The process by which a workflow orchestrator schedules and monitors the daily ETL pipeline, sends alerts on failure, and provides infrastructure observability.</w:t>
      </w:r>
    </w:p>
    <w:p w14:paraId="74329C0B" w14:textId="1CE299DA" w:rsidR="003906A8" w:rsidRPr="004F478D" w:rsidRDefault="004F478D" w:rsidP="004F478D">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bCs/>
          <w:color w:val="232425"/>
          <w:lang w:val="en-GB"/>
        </w:rPr>
      </w:pPr>
      <w:r w:rsidRPr="00DE3F81">
        <w:rPr>
          <w:b/>
          <w:bCs/>
          <w:color w:val="232425"/>
          <w:lang w:val="en-GB"/>
        </w:rPr>
        <w:t>List of 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1A1275F2" w14:textId="77777777">
        <w:tc>
          <w:tcPr>
            <w:tcW w:w="1699" w:type="dxa"/>
            <w:shd w:val="clear" w:color="auto" w:fill="E7E6E6"/>
            <w:vAlign w:val="center"/>
          </w:tcPr>
          <w:p w14:paraId="0B24763F" w14:textId="4BF74922" w:rsidR="003906A8" w:rsidRDefault="00CB7EA3" w:rsidP="00BE01DC">
            <w:pPr>
              <w:spacing w:before="86" w:after="86" w:line="240" w:lineRule="auto"/>
            </w:pPr>
            <w:r w:rsidRPr="00DE3F81">
              <w:rPr>
                <w:b/>
                <w:bCs/>
                <w:lang w:val="en-GB"/>
              </w:rPr>
              <w:t>Requirement</w:t>
            </w:r>
            <w:r>
              <w:rPr>
                <w:rFonts w:eastAsia="MS Mincho"/>
                <w:b/>
                <w:sz w:val="20"/>
              </w:rPr>
              <w:t xml:space="preserve"> </w:t>
            </w:r>
            <w:r w:rsidR="008F5A93">
              <w:rPr>
                <w:rFonts w:eastAsia="MS Mincho"/>
                <w:b/>
                <w:sz w:val="20"/>
              </w:rPr>
              <w:t>ID</w:t>
            </w:r>
          </w:p>
        </w:tc>
        <w:tc>
          <w:tcPr>
            <w:tcW w:w="4253" w:type="dxa"/>
            <w:shd w:val="clear" w:color="auto" w:fill="E7E6E6"/>
            <w:vAlign w:val="center"/>
          </w:tcPr>
          <w:p w14:paraId="029AB804" w14:textId="77777777" w:rsidR="003906A8" w:rsidRDefault="008F5A93">
            <w:pPr>
              <w:spacing w:before="86" w:after="86" w:line="240" w:lineRule="auto"/>
              <w:jc w:val="center"/>
            </w:pPr>
            <w:r>
              <w:rPr>
                <w:rFonts w:eastAsia="MS Mincho"/>
                <w:b/>
                <w:sz w:val="20"/>
              </w:rPr>
              <w:t>Explanation</w:t>
            </w:r>
          </w:p>
        </w:tc>
        <w:tc>
          <w:tcPr>
            <w:tcW w:w="3408" w:type="dxa"/>
            <w:shd w:val="clear" w:color="auto" w:fill="E7E6E6"/>
            <w:vAlign w:val="center"/>
          </w:tcPr>
          <w:p w14:paraId="37D27776"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A17016" w14:paraId="2A89270E" w14:textId="77777777" w:rsidTr="00EC782A">
        <w:tc>
          <w:tcPr>
            <w:tcW w:w="1699" w:type="dxa"/>
            <w:vAlign w:val="center"/>
          </w:tcPr>
          <w:p w14:paraId="32A1E945" w14:textId="3FBAD142" w:rsidR="00A17016" w:rsidRDefault="00A17016" w:rsidP="00BE01DC">
            <w:pPr>
              <w:spacing w:before="86" w:after="86" w:line="240" w:lineRule="auto"/>
            </w:pPr>
            <w:r w:rsidRPr="00DE3F81">
              <w:rPr>
                <w:bCs/>
                <w:lang w:val="en-GB"/>
              </w:rPr>
              <w:t>FR-5.1: Daily ETL window</w:t>
            </w:r>
          </w:p>
        </w:tc>
        <w:tc>
          <w:tcPr>
            <w:tcW w:w="4253" w:type="dxa"/>
            <w:vAlign w:val="center"/>
          </w:tcPr>
          <w:p w14:paraId="35000CEC" w14:textId="3678111C" w:rsidR="00A17016" w:rsidRDefault="00A17016" w:rsidP="00A17016">
            <w:pPr>
              <w:spacing w:before="86" w:after="86" w:line="240" w:lineRule="auto"/>
            </w:pPr>
            <w:r w:rsidRPr="00DE3F81">
              <w:rPr>
                <w:bCs/>
                <w:sz w:val="20"/>
                <w:szCs w:val="20"/>
                <w:lang w:val="en-GB"/>
              </w:rPr>
              <w:t>The full pipeline shall run within the 02:00 to 04:00 ETL window each night. Out-of-window incremental refreshes for events arrive continuously via Kafka and the multi-channel event ingestion paths.</w:t>
            </w:r>
          </w:p>
        </w:tc>
        <w:tc>
          <w:tcPr>
            <w:tcW w:w="3408" w:type="dxa"/>
          </w:tcPr>
          <w:p w14:paraId="34CE0A41" w14:textId="77777777" w:rsidR="00A17016" w:rsidRDefault="00A17016" w:rsidP="00A17016">
            <w:pPr>
              <w:spacing w:before="86" w:after="86" w:line="240" w:lineRule="auto"/>
              <w:rPr>
                <w:rFonts w:eastAsia="MS Mincho"/>
              </w:rPr>
            </w:pPr>
          </w:p>
        </w:tc>
      </w:tr>
      <w:tr w:rsidR="00103407" w14:paraId="0AE20940" w14:textId="77777777" w:rsidTr="00F23D53">
        <w:tc>
          <w:tcPr>
            <w:tcW w:w="1699" w:type="dxa"/>
            <w:vAlign w:val="center"/>
          </w:tcPr>
          <w:p w14:paraId="7A1664F8" w14:textId="47EE8C1D" w:rsidR="00103407" w:rsidRDefault="00103407" w:rsidP="00BE01DC">
            <w:pPr>
              <w:spacing w:before="86" w:after="86" w:line="240" w:lineRule="auto"/>
              <w:rPr>
                <w:rFonts w:eastAsia="MS Mincho"/>
                <w:b/>
                <w:sz w:val="20"/>
              </w:rPr>
            </w:pPr>
            <w:r w:rsidRPr="00DE3F81">
              <w:rPr>
                <w:bCs/>
                <w:lang w:val="en-GB"/>
              </w:rPr>
              <w:t>FR-5.2: Failure alerting</w:t>
            </w:r>
          </w:p>
        </w:tc>
        <w:tc>
          <w:tcPr>
            <w:tcW w:w="4253" w:type="dxa"/>
            <w:vAlign w:val="center"/>
          </w:tcPr>
          <w:p w14:paraId="482C7B13" w14:textId="25820456" w:rsidR="00103407" w:rsidRPr="00103407" w:rsidRDefault="00103407" w:rsidP="00103407">
            <w:pPr>
              <w:spacing w:before="86" w:after="86" w:line="240" w:lineRule="auto"/>
              <w:rPr>
                <w:rFonts w:eastAsia="MS Mincho"/>
                <w:sz w:val="20"/>
                <w:szCs w:val="20"/>
              </w:rPr>
            </w:pPr>
            <w:r w:rsidRPr="00DE3F81">
              <w:rPr>
                <w:bCs/>
                <w:sz w:val="20"/>
                <w:szCs w:val="20"/>
                <w:lang w:val="en-GB"/>
              </w:rPr>
              <w:t>Each source extraction pipeline shall send a failure alert to the DWH administrator on extraction or transformation failure, including process name, task name, error message, and execution timestamp.</w:t>
            </w:r>
          </w:p>
        </w:tc>
        <w:tc>
          <w:tcPr>
            <w:tcW w:w="3408" w:type="dxa"/>
          </w:tcPr>
          <w:p w14:paraId="6D7A60D7" w14:textId="77777777" w:rsidR="00103407" w:rsidRDefault="00103407" w:rsidP="00103407">
            <w:pPr>
              <w:spacing w:before="86" w:after="86" w:line="240" w:lineRule="auto"/>
              <w:rPr>
                <w:rFonts w:eastAsia="MS Mincho"/>
              </w:rPr>
            </w:pPr>
          </w:p>
        </w:tc>
      </w:tr>
      <w:tr w:rsidR="001C280D" w14:paraId="4C054FC1" w14:textId="77777777" w:rsidTr="005F1AC1">
        <w:tc>
          <w:tcPr>
            <w:tcW w:w="1699" w:type="dxa"/>
            <w:vAlign w:val="center"/>
          </w:tcPr>
          <w:p w14:paraId="5C6B13E8" w14:textId="5FD11501" w:rsidR="001C280D" w:rsidRDefault="001C280D" w:rsidP="00BE01DC">
            <w:pPr>
              <w:spacing w:before="86" w:after="86" w:line="240" w:lineRule="auto"/>
            </w:pPr>
            <w:r w:rsidRPr="00DE3F81">
              <w:rPr>
                <w:bCs/>
                <w:lang w:val="en-GB"/>
              </w:rPr>
              <w:t>FR-5.3: Daily summary notification</w:t>
            </w:r>
          </w:p>
        </w:tc>
        <w:tc>
          <w:tcPr>
            <w:tcW w:w="4253" w:type="dxa"/>
            <w:vAlign w:val="center"/>
          </w:tcPr>
          <w:p w14:paraId="605C1029" w14:textId="20CE2A2D" w:rsidR="001C280D" w:rsidRDefault="001C280D" w:rsidP="001C280D">
            <w:pPr>
              <w:spacing w:before="86" w:after="86" w:line="240" w:lineRule="auto"/>
            </w:pPr>
            <w:r w:rsidRPr="00DE3F81">
              <w:rPr>
                <w:bCs/>
                <w:sz w:val="20"/>
                <w:szCs w:val="20"/>
                <w:lang w:val="en-GB"/>
              </w:rPr>
              <w:t>A daily summary notification shall be sent after the full pipeline completes, confirming all extractions and transformations finished successfully or listing systems requiring attention.</w:t>
            </w:r>
          </w:p>
        </w:tc>
        <w:tc>
          <w:tcPr>
            <w:tcW w:w="3408" w:type="dxa"/>
          </w:tcPr>
          <w:p w14:paraId="62EBF3C5" w14:textId="77777777" w:rsidR="001C280D" w:rsidRDefault="001C280D" w:rsidP="001C280D">
            <w:pPr>
              <w:spacing w:before="86" w:after="86" w:line="240" w:lineRule="auto"/>
              <w:rPr>
                <w:rFonts w:eastAsia="MS Mincho"/>
              </w:rPr>
            </w:pPr>
          </w:p>
        </w:tc>
      </w:tr>
      <w:tr w:rsidR="008E25AC" w14:paraId="415E6998" w14:textId="77777777" w:rsidTr="006705A8">
        <w:tc>
          <w:tcPr>
            <w:tcW w:w="1699" w:type="dxa"/>
            <w:vAlign w:val="center"/>
          </w:tcPr>
          <w:p w14:paraId="3BF92CA9" w14:textId="4D87611C" w:rsidR="008E25AC" w:rsidRDefault="008E25AC" w:rsidP="00BE01DC">
            <w:pPr>
              <w:spacing w:before="86" w:after="86" w:line="240" w:lineRule="auto"/>
            </w:pPr>
            <w:r w:rsidRPr="00DE3F81">
              <w:rPr>
                <w:bCs/>
                <w:lang w:val="en-GB"/>
              </w:rPr>
              <w:lastRenderedPageBreak/>
              <w:t>FR-5.4: SFTP delivery sensor</w:t>
            </w:r>
          </w:p>
        </w:tc>
        <w:tc>
          <w:tcPr>
            <w:tcW w:w="4253" w:type="dxa"/>
            <w:vAlign w:val="center"/>
          </w:tcPr>
          <w:p w14:paraId="06DCD90F" w14:textId="2B3EEF1F" w:rsidR="008E25AC" w:rsidRDefault="008E25AC" w:rsidP="008E25AC">
            <w:pPr>
              <w:spacing w:before="86" w:after="86" w:line="240" w:lineRule="auto"/>
            </w:pPr>
            <w:r w:rsidRPr="00DE3F81">
              <w:rPr>
                <w:bCs/>
                <w:sz w:val="20"/>
                <w:szCs w:val="20"/>
                <w:lang w:val="en-GB"/>
              </w:rPr>
              <w:t>For systems using push-based SFTP delivery, the orchestrator shall run a scheduled sensor that checks the SFTP directory at the expected delivery time and sends a missing-file alert if no dump arrives within the configured window.</w:t>
            </w:r>
          </w:p>
        </w:tc>
        <w:tc>
          <w:tcPr>
            <w:tcW w:w="3408" w:type="dxa"/>
          </w:tcPr>
          <w:p w14:paraId="6D98A12B" w14:textId="77777777" w:rsidR="008E25AC" w:rsidRDefault="008E25AC" w:rsidP="008E25AC">
            <w:pPr>
              <w:spacing w:before="86" w:after="86" w:line="240" w:lineRule="auto"/>
              <w:rPr>
                <w:rFonts w:eastAsia="MS Mincho"/>
              </w:rPr>
            </w:pPr>
          </w:p>
        </w:tc>
      </w:tr>
      <w:tr w:rsidR="00B63F44" w14:paraId="3DF5806F" w14:textId="77777777" w:rsidTr="006705A8">
        <w:tc>
          <w:tcPr>
            <w:tcW w:w="1699" w:type="dxa"/>
            <w:vAlign w:val="center"/>
          </w:tcPr>
          <w:p w14:paraId="1163903E" w14:textId="71F7304F" w:rsidR="00B63F44" w:rsidRPr="00DC1A12" w:rsidRDefault="00B63F44" w:rsidP="00BE01DC">
            <w:pPr>
              <w:spacing w:before="86" w:after="86" w:line="240" w:lineRule="auto"/>
              <w:rPr>
                <w:bCs/>
                <w:lang w:val="en-GB"/>
              </w:rPr>
            </w:pPr>
            <w:r w:rsidRPr="00DE3F81">
              <w:rPr>
                <w:bCs/>
                <w:lang w:val="en-GB"/>
              </w:rPr>
              <w:t>FR-5.5: ELT connector monitoring</w:t>
            </w:r>
          </w:p>
        </w:tc>
        <w:tc>
          <w:tcPr>
            <w:tcW w:w="4253" w:type="dxa"/>
            <w:vAlign w:val="center"/>
          </w:tcPr>
          <w:p w14:paraId="33A144B6" w14:textId="330549FA" w:rsidR="00B63F44" w:rsidRPr="008E25AC" w:rsidRDefault="00B63F44" w:rsidP="00B63F44">
            <w:pPr>
              <w:spacing w:before="86" w:after="86" w:line="240" w:lineRule="auto"/>
              <w:rPr>
                <w:bCs/>
                <w:sz w:val="20"/>
                <w:szCs w:val="20"/>
                <w:lang w:val="en-GB"/>
              </w:rPr>
            </w:pPr>
            <w:r w:rsidRPr="00DE3F81">
              <w:rPr>
                <w:bCs/>
                <w:sz w:val="20"/>
                <w:szCs w:val="20"/>
                <w:lang w:val="en-GB"/>
              </w:rPr>
              <w:t>For ELT connector managed extractions, built-in connection monitoring shall be configured to trigger webhook notifications to the orchestrator, ensuring all extraction failures are surfaced through a single alerting channel regardless of the tool used.</w:t>
            </w:r>
          </w:p>
        </w:tc>
        <w:tc>
          <w:tcPr>
            <w:tcW w:w="3408" w:type="dxa"/>
          </w:tcPr>
          <w:p w14:paraId="4CD5B7B5" w14:textId="77777777" w:rsidR="00B63F44" w:rsidRDefault="00B63F44" w:rsidP="00B63F44">
            <w:pPr>
              <w:spacing w:before="86" w:after="86" w:line="240" w:lineRule="auto"/>
              <w:rPr>
                <w:rFonts w:eastAsia="MS Mincho"/>
              </w:rPr>
            </w:pPr>
          </w:p>
        </w:tc>
      </w:tr>
      <w:tr w:rsidR="008557B4" w14:paraId="0411485B" w14:textId="77777777" w:rsidTr="002B3399">
        <w:tc>
          <w:tcPr>
            <w:tcW w:w="1699" w:type="dxa"/>
            <w:vAlign w:val="center"/>
          </w:tcPr>
          <w:p w14:paraId="284C4697" w14:textId="09B1578E" w:rsidR="008557B4" w:rsidRDefault="008557B4" w:rsidP="00BE01DC">
            <w:pPr>
              <w:spacing w:before="86" w:after="86" w:line="240" w:lineRule="auto"/>
            </w:pPr>
            <w:r w:rsidRPr="00DE3F81">
              <w:rPr>
                <w:bCs/>
                <w:lang w:val="en-GB"/>
              </w:rPr>
              <w:t>FR-5.6: Infrastructure monitoring</w:t>
            </w:r>
          </w:p>
        </w:tc>
        <w:tc>
          <w:tcPr>
            <w:tcW w:w="4253" w:type="dxa"/>
            <w:vAlign w:val="center"/>
          </w:tcPr>
          <w:p w14:paraId="08921E82" w14:textId="75FEE003" w:rsidR="008557B4" w:rsidRDefault="008557B4" w:rsidP="008557B4">
            <w:pPr>
              <w:spacing w:before="86" w:after="86" w:line="240" w:lineRule="auto"/>
            </w:pPr>
            <w:r w:rsidRPr="00DE3F81">
              <w:rPr>
                <w:bCs/>
                <w:sz w:val="20"/>
                <w:szCs w:val="20"/>
                <w:lang w:val="en-GB"/>
              </w:rPr>
              <w:t>An open-source monitoring stack shall track query latency, storage utilisation per schema, CPU and memory on DWH VMs, event broker consumer lag, and ELT connector sync duration. Monitoring dashboards shall provide visibility into system health separate from pipeline success and failure alerts handled by the orchestrator.</w:t>
            </w:r>
          </w:p>
        </w:tc>
        <w:tc>
          <w:tcPr>
            <w:tcW w:w="3408" w:type="dxa"/>
          </w:tcPr>
          <w:p w14:paraId="2946DB82" w14:textId="77777777" w:rsidR="008557B4" w:rsidRDefault="008557B4" w:rsidP="008557B4">
            <w:pPr>
              <w:spacing w:before="86" w:after="86" w:line="240" w:lineRule="auto"/>
              <w:rPr>
                <w:rFonts w:eastAsia="MS Mincho"/>
              </w:rPr>
            </w:pPr>
          </w:p>
        </w:tc>
      </w:tr>
    </w:tbl>
    <w:p w14:paraId="5997CC1D" w14:textId="77777777" w:rsidR="003906A8" w:rsidRDefault="003906A8">
      <w:pPr>
        <w:spacing w:after="80"/>
        <w:rPr>
          <w:b/>
        </w:rPr>
      </w:pPr>
    </w:p>
    <w:p w14:paraId="49EA54EB" w14:textId="77777777" w:rsidR="00426E39" w:rsidRDefault="00426E39">
      <w:pPr>
        <w:spacing w:after="80"/>
        <w:rPr>
          <w:b/>
        </w:rPr>
      </w:pPr>
    </w:p>
    <w:p w14:paraId="31592E70" w14:textId="77777777" w:rsidR="00ED317B" w:rsidRPr="00DE3F81" w:rsidRDefault="00ED317B" w:rsidP="00DE3F81">
      <w:pPr>
        <w:pStyle w:val="Heading3"/>
        <w:rPr>
          <w:color w:val="243F60" w:themeColor="accent1" w:themeShade="7F"/>
          <w:sz w:val="24"/>
          <w:szCs w:val="28"/>
          <w:lang w:val="en-GB"/>
        </w:rPr>
      </w:pPr>
      <w:bookmarkStart w:id="6" w:name="_Toc236911029"/>
      <w:r w:rsidRPr="00DE3F81">
        <w:rPr>
          <w:color w:val="243F60" w:themeColor="accent1" w:themeShade="7F"/>
          <w:sz w:val="24"/>
          <w:szCs w:val="28"/>
          <w:lang w:val="en-GB"/>
        </w:rPr>
        <w:t>6. Governance and Access Control</w:t>
      </w:r>
      <w:bookmarkEnd w:id="6"/>
    </w:p>
    <w:p w14:paraId="45575C33" w14:textId="77777777" w:rsidR="00ED317B" w:rsidRPr="00DE3F81" w:rsidRDefault="00ED317B" w:rsidP="00DE3F81">
      <w:pPr>
        <w:widowControl w:val="0"/>
        <w:rPr>
          <w:lang w:val="en-GB"/>
        </w:rPr>
      </w:pPr>
      <w:bookmarkStart w:id="7" w:name="_heading=h.dxd0e6fy9lw3" w:colFirst="0" w:colLast="0"/>
      <w:bookmarkEnd w:id="7"/>
      <w:r w:rsidRPr="00DE3F81">
        <w:rPr>
          <w:b/>
          <w:bCs/>
          <w:lang w:val="en-GB"/>
        </w:rPr>
        <w:t>Procedure name</w:t>
      </w:r>
      <w:r w:rsidRPr="00DE3F81">
        <w:rPr>
          <w:lang w:val="en-GB"/>
        </w:rPr>
        <w:t>: Access control, audit, and schema governance</w:t>
      </w:r>
    </w:p>
    <w:p w14:paraId="4378DE61" w14:textId="77777777" w:rsidR="00ED317B" w:rsidRPr="00DE3F81" w:rsidRDefault="00ED317B" w:rsidP="00DE3F81">
      <w:pPr>
        <w:widowControl w:val="0"/>
        <w:rPr>
          <w:lang w:val="en-GB"/>
        </w:rPr>
      </w:pPr>
      <w:r w:rsidRPr="00DE3F81">
        <w:rPr>
          <w:b/>
          <w:bCs/>
          <w:lang w:val="en-GB"/>
        </w:rPr>
        <w:t>Description</w:t>
      </w:r>
      <w:r w:rsidRPr="00DE3F81">
        <w:rPr>
          <w:lang w:val="en-GB"/>
        </w:rPr>
        <w:t>: The process by which the DWH enforces role-based access control, logs all data access, supports multiple consumer tenants, and publishes versioned schema contracts.</w:t>
      </w:r>
    </w:p>
    <w:p w14:paraId="5E3EA3EB" w14:textId="0D7C68C6" w:rsidR="003906A8" w:rsidRPr="00ED317B" w:rsidRDefault="00ED317B" w:rsidP="00ED317B">
      <w:pPr>
        <w:widowControl w:val="0"/>
        <w:rPr>
          <w:b/>
          <w:bCs/>
          <w:lang w:val="en-GB"/>
        </w:rPr>
      </w:pPr>
      <w:r w:rsidRPr="00DE3F81">
        <w:rPr>
          <w:b/>
          <w:bCs/>
          <w:lang w:val="en-GB"/>
        </w:rPr>
        <w:t>List of 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04A24184" w14:textId="77777777">
        <w:tc>
          <w:tcPr>
            <w:tcW w:w="1699" w:type="dxa"/>
            <w:shd w:val="clear" w:color="auto" w:fill="E7E6E6"/>
            <w:vAlign w:val="center"/>
          </w:tcPr>
          <w:p w14:paraId="17F34473" w14:textId="77777777" w:rsidR="003906A8" w:rsidRDefault="008F5A93" w:rsidP="00BE01DC">
            <w:pPr>
              <w:spacing w:before="86" w:after="86" w:line="240" w:lineRule="auto"/>
            </w:pPr>
            <w:r>
              <w:rPr>
                <w:rFonts w:eastAsia="MS Mincho"/>
                <w:b/>
                <w:sz w:val="20"/>
              </w:rPr>
              <w:t>Requirement ID</w:t>
            </w:r>
          </w:p>
        </w:tc>
        <w:tc>
          <w:tcPr>
            <w:tcW w:w="4253" w:type="dxa"/>
            <w:shd w:val="clear" w:color="auto" w:fill="E7E6E6"/>
            <w:vAlign w:val="center"/>
          </w:tcPr>
          <w:p w14:paraId="555AFC23" w14:textId="77777777" w:rsidR="003906A8" w:rsidRDefault="008F5A93">
            <w:pPr>
              <w:spacing w:before="86" w:after="86" w:line="240" w:lineRule="auto"/>
              <w:jc w:val="center"/>
            </w:pPr>
            <w:r>
              <w:rPr>
                <w:rFonts w:eastAsia="MS Mincho"/>
                <w:b/>
                <w:sz w:val="20"/>
              </w:rPr>
              <w:t>Explanation</w:t>
            </w:r>
          </w:p>
        </w:tc>
        <w:tc>
          <w:tcPr>
            <w:tcW w:w="3408" w:type="dxa"/>
            <w:shd w:val="clear" w:color="auto" w:fill="E7E6E6"/>
            <w:vAlign w:val="center"/>
          </w:tcPr>
          <w:p w14:paraId="3D6325A2"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0E56F5" w14:paraId="51A6246D" w14:textId="77777777">
        <w:tc>
          <w:tcPr>
            <w:tcW w:w="1699" w:type="dxa"/>
            <w:vAlign w:val="center"/>
          </w:tcPr>
          <w:p w14:paraId="023E6A58" w14:textId="6D2982EA" w:rsidR="000E56F5" w:rsidRDefault="000E56F5" w:rsidP="00BE01DC">
            <w:pPr>
              <w:spacing w:before="86" w:after="86" w:line="240" w:lineRule="auto"/>
            </w:pPr>
            <w:r w:rsidRPr="00DE3F81">
              <w:rPr>
                <w:lang w:val="en-GB"/>
              </w:rPr>
              <w:t>FR-6.1: Multi-tenancy</w:t>
            </w:r>
          </w:p>
        </w:tc>
        <w:tc>
          <w:tcPr>
            <w:tcW w:w="4253" w:type="dxa"/>
            <w:vAlign w:val="center"/>
          </w:tcPr>
          <w:p w14:paraId="506D40B6" w14:textId="74188597" w:rsidR="000E56F5" w:rsidRDefault="000E56F5" w:rsidP="000E56F5">
            <w:pPr>
              <w:spacing w:before="86" w:after="86" w:line="240" w:lineRule="auto"/>
            </w:pPr>
            <w:r w:rsidRPr="00DE3F81">
              <w:rPr>
                <w:sz w:val="20"/>
                <w:szCs w:val="20"/>
                <w:lang w:val="en-GB"/>
              </w:rPr>
              <w:t>The RBAC framework shall support adding additional ministries or institutions as DWH consumers without architectural change. New tenants are provisioned via BI platform groups or direct read-only PostgreSQL roles for approved BI tools. The Gold layer is designed as a read-only analytical interface that can serve consumers beyond MLSP</w:t>
            </w:r>
            <w:r w:rsidRPr="00DE3F81">
              <w:rPr>
                <w:lang w:val="en-GB"/>
              </w:rPr>
              <w:t>.</w:t>
            </w:r>
          </w:p>
        </w:tc>
        <w:tc>
          <w:tcPr>
            <w:tcW w:w="3408" w:type="dxa"/>
            <w:vAlign w:val="center"/>
          </w:tcPr>
          <w:p w14:paraId="110FFD37" w14:textId="77777777" w:rsidR="000E56F5" w:rsidRDefault="000E56F5" w:rsidP="000E56F5">
            <w:pPr>
              <w:spacing w:before="86" w:after="86" w:line="240" w:lineRule="auto"/>
              <w:rPr>
                <w:rFonts w:eastAsia="MS Mincho"/>
              </w:rPr>
            </w:pPr>
          </w:p>
        </w:tc>
      </w:tr>
      <w:tr w:rsidR="00D11500" w14:paraId="5B33DFF7" w14:textId="77777777">
        <w:tc>
          <w:tcPr>
            <w:tcW w:w="1699" w:type="dxa"/>
            <w:vAlign w:val="center"/>
          </w:tcPr>
          <w:p w14:paraId="711A7DFB" w14:textId="3A9FFB5C" w:rsidR="00D11500" w:rsidRDefault="00D11500" w:rsidP="00BE01DC">
            <w:pPr>
              <w:spacing w:before="86" w:after="86" w:line="240" w:lineRule="auto"/>
              <w:rPr>
                <w:rFonts w:eastAsia="MS Mincho"/>
                <w:b/>
                <w:sz w:val="20"/>
              </w:rPr>
            </w:pPr>
            <w:r w:rsidRPr="00DE3F81">
              <w:rPr>
                <w:lang w:val="en-GB"/>
              </w:rPr>
              <w:t>FR-6.2: Database audit</w:t>
            </w:r>
          </w:p>
        </w:tc>
        <w:tc>
          <w:tcPr>
            <w:tcW w:w="4253" w:type="dxa"/>
            <w:vAlign w:val="center"/>
          </w:tcPr>
          <w:p w14:paraId="205FF59B" w14:textId="267ACDB1" w:rsidR="00D11500" w:rsidRDefault="00D11500" w:rsidP="00D11500">
            <w:pPr>
              <w:spacing w:before="86" w:after="86" w:line="240" w:lineRule="auto"/>
              <w:rPr>
                <w:rFonts w:eastAsia="MS Mincho"/>
                <w:sz w:val="20"/>
              </w:rPr>
            </w:pPr>
            <w:r w:rsidRPr="00DE3F81">
              <w:rPr>
                <w:sz w:val="20"/>
                <w:szCs w:val="20"/>
                <w:lang w:val="en-GB"/>
              </w:rPr>
              <w:t>Database-level audit logging shall be configured on all DWH PostgreSQL instances. Audit logs shall be forwarded to the eSocial Audit microservice for centralised retention. All access to Gold layer data through the BI platform, the API, or batch export shall be logged at the database layer and the application layer.</w:t>
            </w:r>
          </w:p>
        </w:tc>
        <w:tc>
          <w:tcPr>
            <w:tcW w:w="3408" w:type="dxa"/>
            <w:vAlign w:val="center"/>
          </w:tcPr>
          <w:p w14:paraId="1C5DF2AF" w14:textId="77777777" w:rsidR="00D11500" w:rsidRDefault="00D11500" w:rsidP="00D11500">
            <w:pPr>
              <w:spacing w:before="86" w:after="86" w:line="240" w:lineRule="auto"/>
              <w:rPr>
                <w:rFonts w:eastAsia="MS Mincho"/>
              </w:rPr>
            </w:pPr>
          </w:p>
        </w:tc>
      </w:tr>
      <w:tr w:rsidR="00FC3544" w14:paraId="61C8D7D3" w14:textId="77777777">
        <w:tc>
          <w:tcPr>
            <w:tcW w:w="1699" w:type="dxa"/>
            <w:vAlign w:val="center"/>
          </w:tcPr>
          <w:p w14:paraId="3F2FD40F" w14:textId="7EEDE359" w:rsidR="00FC3544" w:rsidRDefault="00FC3544" w:rsidP="00BE01DC">
            <w:pPr>
              <w:spacing w:before="86" w:after="86" w:line="240" w:lineRule="auto"/>
              <w:rPr>
                <w:rFonts w:eastAsia="MS Mincho"/>
                <w:b/>
                <w:sz w:val="20"/>
              </w:rPr>
            </w:pPr>
            <w:r w:rsidRPr="00DE3F81">
              <w:rPr>
                <w:lang w:val="en-GB"/>
              </w:rPr>
              <w:lastRenderedPageBreak/>
              <w:t>FR-6.3: Schema contracts</w:t>
            </w:r>
          </w:p>
        </w:tc>
        <w:tc>
          <w:tcPr>
            <w:tcW w:w="4253" w:type="dxa"/>
            <w:vAlign w:val="center"/>
          </w:tcPr>
          <w:p w14:paraId="28E729BA" w14:textId="0737D87A" w:rsidR="00FC3544" w:rsidRDefault="00FC3544" w:rsidP="00FC3544">
            <w:pPr>
              <w:spacing w:before="86" w:after="86" w:line="240" w:lineRule="auto"/>
              <w:rPr>
                <w:rFonts w:eastAsia="MS Mincho"/>
                <w:sz w:val="20"/>
              </w:rPr>
            </w:pPr>
            <w:r w:rsidRPr="00DE3F81">
              <w:rPr>
                <w:sz w:val="20"/>
                <w:szCs w:val="20"/>
                <w:lang w:val="en-GB"/>
              </w:rPr>
              <w:t>The Contractor shall publish versioned schema contracts for all externally consumed Gold datasets before go-live, following the schema-first principle established by the eSocial platform. Schema changes follow a controlled deprecation process.</w:t>
            </w:r>
          </w:p>
        </w:tc>
        <w:tc>
          <w:tcPr>
            <w:tcW w:w="3408" w:type="dxa"/>
            <w:vAlign w:val="center"/>
          </w:tcPr>
          <w:p w14:paraId="47389C16" w14:textId="77777777" w:rsidR="00FC3544" w:rsidRDefault="00FC3544" w:rsidP="00FC3544">
            <w:pPr>
              <w:spacing w:before="86" w:after="86" w:line="240" w:lineRule="auto"/>
              <w:rPr>
                <w:rFonts w:eastAsia="MS Mincho"/>
              </w:rPr>
            </w:pPr>
          </w:p>
        </w:tc>
      </w:tr>
      <w:tr w:rsidR="00871AF7" w14:paraId="6F6C1EB2" w14:textId="77777777">
        <w:tc>
          <w:tcPr>
            <w:tcW w:w="1699" w:type="dxa"/>
            <w:vAlign w:val="center"/>
          </w:tcPr>
          <w:p w14:paraId="42ACC343" w14:textId="1D9ACE02" w:rsidR="00871AF7" w:rsidRDefault="00871AF7" w:rsidP="00BE01DC">
            <w:pPr>
              <w:spacing w:before="86" w:after="86" w:line="240" w:lineRule="auto"/>
            </w:pPr>
            <w:r w:rsidRPr="00DE3F81">
              <w:rPr>
                <w:lang w:val="en-GB"/>
              </w:rPr>
              <w:t>FR-6.4: Column-level security</w:t>
            </w:r>
          </w:p>
        </w:tc>
        <w:tc>
          <w:tcPr>
            <w:tcW w:w="4253" w:type="dxa"/>
            <w:vAlign w:val="center"/>
          </w:tcPr>
          <w:p w14:paraId="2B06BFEA" w14:textId="1BED26D6" w:rsidR="00871AF7" w:rsidRDefault="00871AF7" w:rsidP="00871AF7">
            <w:pPr>
              <w:spacing w:before="86" w:after="86" w:line="240" w:lineRule="auto"/>
            </w:pPr>
            <w:r w:rsidRPr="00DE3F81">
              <w:rPr>
                <w:sz w:val="20"/>
                <w:szCs w:val="20"/>
                <w:lang w:val="en-GB"/>
              </w:rPr>
              <w:t>Sensitive personal data fields shall have column-level access controls. The RBAC matrix defines which roles may view which columns. The BI layer and the API layer shall enforce this matrix consistently.</w:t>
            </w:r>
          </w:p>
        </w:tc>
        <w:tc>
          <w:tcPr>
            <w:tcW w:w="3408" w:type="dxa"/>
            <w:vAlign w:val="center"/>
          </w:tcPr>
          <w:p w14:paraId="6B699379" w14:textId="77777777" w:rsidR="00871AF7" w:rsidRDefault="00871AF7" w:rsidP="00871AF7">
            <w:pPr>
              <w:spacing w:before="86" w:after="86" w:line="240" w:lineRule="auto"/>
              <w:rPr>
                <w:rFonts w:eastAsia="MS Mincho"/>
              </w:rPr>
            </w:pPr>
          </w:p>
        </w:tc>
      </w:tr>
      <w:tr w:rsidR="00AB7938" w14:paraId="2D9BD18D" w14:textId="77777777">
        <w:tc>
          <w:tcPr>
            <w:tcW w:w="1699" w:type="dxa"/>
            <w:vAlign w:val="center"/>
          </w:tcPr>
          <w:p w14:paraId="00098FD5" w14:textId="159CCC65" w:rsidR="00AB7938" w:rsidRDefault="00AB7938" w:rsidP="00BE01DC">
            <w:pPr>
              <w:spacing w:before="86" w:after="86" w:line="240" w:lineRule="auto"/>
            </w:pPr>
            <w:r w:rsidRPr="00DE3F81">
              <w:rPr>
                <w:lang w:val="en-GB"/>
              </w:rPr>
              <w:t>FR-6.5: GDPR right-to-erasure</w:t>
            </w:r>
          </w:p>
        </w:tc>
        <w:tc>
          <w:tcPr>
            <w:tcW w:w="4253" w:type="dxa"/>
            <w:vAlign w:val="center"/>
          </w:tcPr>
          <w:p w14:paraId="2138F9FA" w14:textId="07301054" w:rsidR="00AB7938" w:rsidRDefault="00AB7938" w:rsidP="00AB7938">
            <w:pPr>
              <w:spacing w:before="86" w:after="86" w:line="240" w:lineRule="auto"/>
            </w:pPr>
            <w:r w:rsidRPr="00DE3F81">
              <w:rPr>
                <w:sz w:val="20"/>
                <w:szCs w:val="20"/>
                <w:lang w:val="en-GB"/>
              </w:rPr>
              <w:t>The DWH shall support GDPR right-to-erasure by propagating delete events from source systems through the Silver and Gold layers within a defined SLA.</w:t>
            </w:r>
          </w:p>
        </w:tc>
        <w:tc>
          <w:tcPr>
            <w:tcW w:w="3408" w:type="dxa"/>
            <w:vAlign w:val="center"/>
          </w:tcPr>
          <w:p w14:paraId="3FE9F23F" w14:textId="77777777" w:rsidR="00AB7938" w:rsidRDefault="00AB7938" w:rsidP="00AB7938">
            <w:pPr>
              <w:spacing w:before="86" w:after="86" w:line="240" w:lineRule="auto"/>
              <w:rPr>
                <w:rFonts w:eastAsia="MS Mincho"/>
              </w:rPr>
            </w:pPr>
          </w:p>
        </w:tc>
      </w:tr>
    </w:tbl>
    <w:p w14:paraId="77E30172" w14:textId="77777777" w:rsidR="00AB7938" w:rsidRDefault="00AB7938" w:rsidP="00AB7938"/>
    <w:p w14:paraId="5F204F15" w14:textId="77777777" w:rsidR="00AC670B" w:rsidRPr="00DE3F81" w:rsidRDefault="00AC670B" w:rsidP="00DE3F81">
      <w:pPr>
        <w:pStyle w:val="Heading2"/>
        <w:rPr>
          <w:rFonts w:cstheme="minorHAnsi"/>
          <w:szCs w:val="20"/>
          <w:lang w:val="en-GB"/>
        </w:rPr>
      </w:pPr>
      <w:r w:rsidRPr="00DE3F81">
        <w:rPr>
          <w:rFonts w:eastAsia="Times New Roman" w:cs="Times New Roman"/>
          <w:szCs w:val="20"/>
          <w:lang w:val="en-GB"/>
        </w:rPr>
        <w:t xml:space="preserve">NON-FUNCTIONAL REQUIREMENTS </w:t>
      </w:r>
    </w:p>
    <w:p w14:paraId="7586C4E6" w14:textId="77777777" w:rsidR="00AC670B" w:rsidRPr="00E66B08" w:rsidRDefault="00AC670B" w:rsidP="00AC670B">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0"/>
        <w:contextualSpacing/>
        <w:jc w:val="both"/>
        <w:rPr>
          <w:color w:val="232425"/>
          <w:sz w:val="10"/>
          <w:szCs w:val="10"/>
        </w:rPr>
      </w:pPr>
    </w:p>
    <w:p w14:paraId="4E3C9773" w14:textId="2DA08FBC" w:rsidR="00AC670B" w:rsidRDefault="00AC670B"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0"/>
        <w:contextualSpacing/>
        <w:jc w:val="both"/>
        <w:rPr>
          <w:color w:val="232425"/>
        </w:rPr>
      </w:pPr>
      <w:r w:rsidRPr="00DE3F81">
        <w:rPr>
          <w:color w:val="232425"/>
          <w:lang w:val="en-GB"/>
        </w:rPr>
        <w:t>The DWH will be implemented as an integrated module of the eSocial information system of the Republic of Moldova, complying with all technical, architectural, security, and performance requirements of the national platform, in accordance with the Government Decision of 29 January 2025 approving the Concept of the</w:t>
      </w:r>
      <w:r>
        <w:rPr>
          <w:color w:val="232425"/>
        </w:rPr>
        <w:t xml:space="preserve"> e</w:t>
      </w:r>
      <w:r w:rsidRPr="00DE3F81">
        <w:rPr>
          <w:color w:val="232425"/>
          <w:lang w:val="en-GB"/>
        </w:rPr>
        <w:t>Social Information System.</w:t>
      </w:r>
    </w:p>
    <w:p w14:paraId="058B0633" w14:textId="77777777" w:rsidR="00AC670B" w:rsidRPr="00DE3F81" w:rsidRDefault="00AC670B"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0"/>
        <w:contextualSpacing/>
        <w:rPr>
          <w:color w:val="232425"/>
          <w:lang w:val="en-GB"/>
        </w:rPr>
      </w:pPr>
    </w:p>
    <w:p w14:paraId="6EA93F70" w14:textId="4D108DE9" w:rsidR="00AC670B" w:rsidRPr="00DE3F81" w:rsidRDefault="00AC670B" w:rsidP="00DE3F81">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color w:val="232425"/>
          <w:lang w:val="en-GB"/>
        </w:rPr>
      </w:pPr>
      <w:r w:rsidRPr="00DE3F81">
        <w:rPr>
          <w:color w:val="232425"/>
          <w:lang w:val="en-GB"/>
        </w:rPr>
        <w:t>All non-functional requirements are mandatory.</w:t>
      </w:r>
    </w:p>
    <w:p w14:paraId="6DF39915" w14:textId="77777777" w:rsidR="00AC670B" w:rsidRPr="00DE3F81" w:rsidRDefault="00AC670B" w:rsidP="00DE3F81">
      <w:pPr>
        <w:pStyle w:val="Heading3"/>
        <w:rPr>
          <w:color w:val="243F60" w:themeColor="accent1" w:themeShade="7F"/>
          <w:szCs w:val="24"/>
          <w:lang w:val="en-GB"/>
        </w:rPr>
      </w:pPr>
      <w:bookmarkStart w:id="8" w:name="_heading=h.otzez5ksggmn" w:colFirst="0" w:colLast="0"/>
      <w:bookmarkStart w:id="9" w:name="_Toc236911031"/>
      <w:bookmarkEnd w:id="8"/>
      <w:r w:rsidRPr="00DE3F81">
        <w:rPr>
          <w:color w:val="243F60" w:themeColor="accent1" w:themeShade="7F"/>
          <w:sz w:val="24"/>
          <w:szCs w:val="28"/>
          <w:lang w:val="en-GB"/>
        </w:rPr>
        <w:t>1. Architecture and integration</w:t>
      </w:r>
      <w:bookmarkEnd w:id="9"/>
    </w:p>
    <w:p w14:paraId="35A59FDA" w14:textId="16E82805" w:rsidR="003906A8" w:rsidRPr="00AC670B" w:rsidRDefault="00AC670B" w:rsidP="00AC670B">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color w:val="232425"/>
          <w:lang w:val="en-GB"/>
        </w:rPr>
      </w:pPr>
      <w:r w:rsidRPr="00DE3F81">
        <w:rPr>
          <w:b/>
          <w:color w:val="232425"/>
          <w:lang w:val="en-GB"/>
        </w:rPr>
        <w:t>List of non-functional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1B7FB848" w14:textId="77777777">
        <w:tc>
          <w:tcPr>
            <w:tcW w:w="1699" w:type="dxa"/>
            <w:shd w:val="clear" w:color="auto" w:fill="E7E6E6"/>
            <w:vAlign w:val="center"/>
          </w:tcPr>
          <w:p w14:paraId="5A993EAF" w14:textId="5B1CB5B1" w:rsidR="003906A8" w:rsidRDefault="00044AAA" w:rsidP="00BE01DC">
            <w:pPr>
              <w:spacing w:before="86" w:after="86" w:line="240" w:lineRule="auto"/>
            </w:pPr>
            <w:r w:rsidRPr="00DE3F81">
              <w:rPr>
                <w:b/>
                <w:bCs/>
                <w:lang w:val="en-GB"/>
              </w:rPr>
              <w:t>Requirement</w:t>
            </w:r>
            <w:r>
              <w:rPr>
                <w:rFonts w:eastAsia="MS Mincho"/>
                <w:b/>
                <w:sz w:val="20"/>
              </w:rPr>
              <w:t xml:space="preserve"> </w:t>
            </w:r>
            <w:r w:rsidR="008F5A93">
              <w:rPr>
                <w:rFonts w:eastAsia="MS Mincho"/>
                <w:b/>
                <w:sz w:val="20"/>
              </w:rPr>
              <w:t>ID</w:t>
            </w:r>
          </w:p>
        </w:tc>
        <w:tc>
          <w:tcPr>
            <w:tcW w:w="4253" w:type="dxa"/>
            <w:shd w:val="clear" w:color="auto" w:fill="E7E6E6"/>
            <w:vAlign w:val="center"/>
          </w:tcPr>
          <w:p w14:paraId="5478F8C7" w14:textId="77777777" w:rsidR="003906A8" w:rsidRDefault="008F5A93">
            <w:pPr>
              <w:spacing w:before="86" w:after="86" w:line="240" w:lineRule="auto"/>
              <w:jc w:val="center"/>
            </w:pPr>
            <w:r>
              <w:rPr>
                <w:rFonts w:eastAsia="MS Mincho"/>
                <w:b/>
                <w:sz w:val="20"/>
              </w:rPr>
              <w:t>Explanation</w:t>
            </w:r>
          </w:p>
        </w:tc>
        <w:tc>
          <w:tcPr>
            <w:tcW w:w="3408" w:type="dxa"/>
            <w:shd w:val="clear" w:color="auto" w:fill="E7E6E6"/>
            <w:vAlign w:val="center"/>
          </w:tcPr>
          <w:p w14:paraId="2018AF0C"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C17249" w14:paraId="0075FE69" w14:textId="77777777">
        <w:tc>
          <w:tcPr>
            <w:tcW w:w="1699" w:type="dxa"/>
            <w:vAlign w:val="center"/>
          </w:tcPr>
          <w:p w14:paraId="4FE206D9" w14:textId="67C72187" w:rsidR="00C17249" w:rsidRDefault="00C17249" w:rsidP="00BE01DC">
            <w:pPr>
              <w:spacing w:before="86" w:after="86" w:line="240" w:lineRule="auto"/>
            </w:pPr>
            <w:r w:rsidRPr="00DE3F81">
              <w:rPr>
                <w:bCs/>
                <w:color w:val="232425"/>
                <w:lang w:val="en-GB"/>
              </w:rPr>
              <w:t>NFR-1.1: Layered architecture</w:t>
            </w:r>
          </w:p>
        </w:tc>
        <w:tc>
          <w:tcPr>
            <w:tcW w:w="4253" w:type="dxa"/>
            <w:vAlign w:val="center"/>
          </w:tcPr>
          <w:p w14:paraId="12CA7B45" w14:textId="7DD811A6" w:rsidR="00C17249" w:rsidRDefault="00C17249" w:rsidP="00C17249">
            <w:pPr>
              <w:spacing w:before="86" w:after="86" w:line="240" w:lineRule="auto"/>
            </w:pPr>
            <w:r w:rsidRPr="00DE3F81">
              <w:rPr>
                <w:bCs/>
                <w:color w:val="232425"/>
                <w:sz w:val="20"/>
                <w:szCs w:val="20"/>
                <w:lang w:val="en-GB"/>
              </w:rPr>
              <w:t>The DWH shall implement the Medallion architecture (Bronze, Silver, Gold) with one PostgreSQL instance for the Bronze layer and a separate PostgreSQL instance for the Silver and Gold layers, deployed across the four MCloud VMs specified in Section I.5. PostgreSQL 18 (or the latest stable major version approved by STISC) is mandatory for all three Medallion layers.</w:t>
            </w:r>
          </w:p>
        </w:tc>
        <w:tc>
          <w:tcPr>
            <w:tcW w:w="3408" w:type="dxa"/>
            <w:vAlign w:val="center"/>
          </w:tcPr>
          <w:p w14:paraId="08CE6F91" w14:textId="77777777" w:rsidR="00C17249" w:rsidRDefault="00C17249" w:rsidP="00C17249">
            <w:pPr>
              <w:spacing w:before="86" w:after="86" w:line="240" w:lineRule="auto"/>
              <w:rPr>
                <w:rFonts w:eastAsia="MS Mincho"/>
              </w:rPr>
            </w:pPr>
          </w:p>
        </w:tc>
      </w:tr>
      <w:tr w:rsidR="003B2A46" w14:paraId="0F09D5F9" w14:textId="77777777">
        <w:tc>
          <w:tcPr>
            <w:tcW w:w="1699" w:type="dxa"/>
            <w:vAlign w:val="center"/>
          </w:tcPr>
          <w:p w14:paraId="633CA54B" w14:textId="2E0A58CA" w:rsidR="003B2A46" w:rsidRDefault="003B2A46" w:rsidP="00BE01DC">
            <w:pPr>
              <w:spacing w:before="86" w:after="86" w:line="240" w:lineRule="auto"/>
            </w:pPr>
            <w:r w:rsidRPr="00DE3F81">
              <w:rPr>
                <w:bCs/>
                <w:color w:val="232425"/>
                <w:lang w:val="en-GB"/>
              </w:rPr>
              <w:t>NFR-1.2: OWA platform integration</w:t>
            </w:r>
          </w:p>
        </w:tc>
        <w:tc>
          <w:tcPr>
            <w:tcW w:w="4253" w:type="dxa"/>
            <w:vAlign w:val="center"/>
          </w:tcPr>
          <w:p w14:paraId="7755343F" w14:textId="4E06DEB2" w:rsidR="003B2A46" w:rsidRPr="00F21F36" w:rsidRDefault="003B2A46" w:rsidP="003B2A46">
            <w:pPr>
              <w:spacing w:before="86" w:after="86" w:line="240" w:lineRule="auto"/>
            </w:pPr>
            <w:r w:rsidRPr="00F21F36">
              <w:rPr>
                <w:bCs/>
                <w:color w:val="232425"/>
                <w:sz w:val="20"/>
                <w:szCs w:val="20"/>
                <w:lang w:val="en-GB"/>
              </w:rPr>
              <w:t xml:space="preserve">The OWA.DataWarehouse module shall integrate with the eSocial OWA platform: MPass for authentication, OAuth 2.0 for authorisation, REST APIs and Kafka for inter-service communication, and the eSocial Audit service for audit log </w:t>
            </w:r>
            <w:r w:rsidRPr="00F21F36">
              <w:rPr>
                <w:bCs/>
                <w:color w:val="232425"/>
                <w:sz w:val="20"/>
                <w:szCs w:val="20"/>
                <w:lang w:val="en-GB"/>
              </w:rPr>
              <w:lastRenderedPageBreak/>
              <w:t>forwarding.</w:t>
            </w:r>
          </w:p>
        </w:tc>
        <w:tc>
          <w:tcPr>
            <w:tcW w:w="3408" w:type="dxa"/>
            <w:vAlign w:val="center"/>
          </w:tcPr>
          <w:p w14:paraId="61CDCEAD" w14:textId="77777777" w:rsidR="003B2A46" w:rsidRDefault="003B2A46" w:rsidP="003B2A46">
            <w:pPr>
              <w:spacing w:before="86" w:after="86" w:line="240" w:lineRule="auto"/>
              <w:rPr>
                <w:rFonts w:eastAsia="MS Mincho"/>
              </w:rPr>
            </w:pPr>
          </w:p>
        </w:tc>
      </w:tr>
      <w:tr w:rsidR="0028701C" w14:paraId="68D7137E" w14:textId="77777777">
        <w:tc>
          <w:tcPr>
            <w:tcW w:w="1699" w:type="dxa"/>
            <w:vAlign w:val="center"/>
          </w:tcPr>
          <w:p w14:paraId="6E4D3239" w14:textId="2C599DA6" w:rsidR="0028701C" w:rsidRDefault="0028701C" w:rsidP="00BE01DC">
            <w:pPr>
              <w:spacing w:before="86" w:after="86" w:line="240" w:lineRule="auto"/>
            </w:pPr>
            <w:r w:rsidRPr="00DE3F81">
              <w:rPr>
                <w:bCs/>
                <w:color w:val="232425"/>
                <w:lang w:val="en-GB"/>
              </w:rPr>
              <w:t>NFR-1.3: Containerisation</w:t>
            </w:r>
          </w:p>
        </w:tc>
        <w:tc>
          <w:tcPr>
            <w:tcW w:w="4253" w:type="dxa"/>
            <w:vAlign w:val="center"/>
          </w:tcPr>
          <w:p w14:paraId="6F04C23F" w14:textId="2CF09369" w:rsidR="0028701C" w:rsidRPr="00F21F36" w:rsidRDefault="0028701C" w:rsidP="0028701C">
            <w:pPr>
              <w:spacing w:before="86" w:after="86" w:line="240" w:lineRule="auto"/>
            </w:pPr>
            <w:r w:rsidRPr="00F21F36">
              <w:rPr>
                <w:bCs/>
                <w:color w:val="232425"/>
                <w:sz w:val="20"/>
                <w:szCs w:val="20"/>
                <w:lang w:val="en-GB"/>
              </w:rPr>
              <w:t>All application services shall run in Docker containers on the App Services VM and the OWA API VM, with clear separation of development, test, and production environments.</w:t>
            </w:r>
          </w:p>
        </w:tc>
        <w:tc>
          <w:tcPr>
            <w:tcW w:w="3408" w:type="dxa"/>
            <w:vAlign w:val="center"/>
          </w:tcPr>
          <w:p w14:paraId="6BB9E253" w14:textId="77777777" w:rsidR="0028701C" w:rsidRDefault="0028701C" w:rsidP="0028701C">
            <w:pPr>
              <w:spacing w:before="86" w:after="86" w:line="240" w:lineRule="auto"/>
              <w:rPr>
                <w:rFonts w:eastAsia="MS Mincho"/>
              </w:rPr>
            </w:pPr>
          </w:p>
        </w:tc>
      </w:tr>
    </w:tbl>
    <w:p w14:paraId="23DE523C" w14:textId="77777777" w:rsidR="003906A8" w:rsidRDefault="003906A8">
      <w:pPr>
        <w:spacing w:after="80"/>
        <w:rPr>
          <w:b/>
        </w:rPr>
      </w:pPr>
    </w:p>
    <w:p w14:paraId="542FB178" w14:textId="77777777" w:rsidR="0011466A" w:rsidRPr="00DE3F81" w:rsidRDefault="0011466A" w:rsidP="00DE3F81">
      <w:pPr>
        <w:pStyle w:val="Heading3"/>
        <w:rPr>
          <w:color w:val="243F60" w:themeColor="accent1" w:themeShade="7F"/>
          <w:sz w:val="24"/>
          <w:szCs w:val="28"/>
          <w:lang w:val="en-GB"/>
        </w:rPr>
      </w:pPr>
      <w:bookmarkStart w:id="10" w:name="_Toc236911032"/>
      <w:r w:rsidRPr="00DE3F81">
        <w:rPr>
          <w:color w:val="243F60" w:themeColor="accent1" w:themeShade="7F"/>
          <w:sz w:val="24"/>
          <w:szCs w:val="28"/>
          <w:lang w:val="en-GB"/>
        </w:rPr>
        <w:t>2. Performance requirements</w:t>
      </w:r>
      <w:bookmarkEnd w:id="10"/>
    </w:p>
    <w:p w14:paraId="12F1ECC6" w14:textId="05DCE73C" w:rsidR="003906A8" w:rsidRPr="0011466A" w:rsidRDefault="0011466A" w:rsidP="0011466A">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color w:val="232425"/>
          <w:lang w:val="en-GB"/>
        </w:rPr>
      </w:pPr>
      <w:r w:rsidRPr="00DE3F81">
        <w:rPr>
          <w:b/>
          <w:color w:val="232425"/>
          <w:lang w:val="en-GB"/>
        </w:rPr>
        <w:t>List of non-functional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64ECAD3D" w14:textId="77777777">
        <w:tc>
          <w:tcPr>
            <w:tcW w:w="1699" w:type="dxa"/>
            <w:shd w:val="clear" w:color="auto" w:fill="E7E6E6"/>
            <w:vAlign w:val="center"/>
          </w:tcPr>
          <w:p w14:paraId="6433955C" w14:textId="77777777" w:rsidR="003906A8" w:rsidRDefault="008F5A93" w:rsidP="00BE01DC">
            <w:pPr>
              <w:spacing w:before="86" w:after="86" w:line="240" w:lineRule="auto"/>
            </w:pPr>
            <w:r>
              <w:rPr>
                <w:rFonts w:eastAsia="MS Mincho"/>
                <w:b/>
                <w:sz w:val="20"/>
              </w:rPr>
              <w:t>Requirement ID</w:t>
            </w:r>
          </w:p>
        </w:tc>
        <w:tc>
          <w:tcPr>
            <w:tcW w:w="4253" w:type="dxa"/>
            <w:shd w:val="clear" w:color="auto" w:fill="E7E6E6"/>
            <w:vAlign w:val="center"/>
          </w:tcPr>
          <w:p w14:paraId="5C810547" w14:textId="77777777" w:rsidR="003906A8" w:rsidRDefault="008F5A93">
            <w:pPr>
              <w:spacing w:before="86" w:after="86" w:line="240" w:lineRule="auto"/>
              <w:jc w:val="center"/>
            </w:pPr>
            <w:r>
              <w:rPr>
                <w:rFonts w:eastAsia="MS Mincho"/>
                <w:b/>
                <w:sz w:val="20"/>
              </w:rPr>
              <w:t>Explanation</w:t>
            </w:r>
          </w:p>
        </w:tc>
        <w:tc>
          <w:tcPr>
            <w:tcW w:w="3408" w:type="dxa"/>
            <w:shd w:val="clear" w:color="auto" w:fill="E7E6E6"/>
            <w:vAlign w:val="center"/>
          </w:tcPr>
          <w:p w14:paraId="34D70572"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482B68" w14:paraId="34BD8973" w14:textId="77777777">
        <w:tc>
          <w:tcPr>
            <w:tcW w:w="1699" w:type="dxa"/>
            <w:vAlign w:val="center"/>
          </w:tcPr>
          <w:p w14:paraId="6F02C5E6" w14:textId="781893F3" w:rsidR="00482B68" w:rsidRDefault="00482B68" w:rsidP="00BE01DC">
            <w:pPr>
              <w:spacing w:before="86" w:after="86" w:line="240" w:lineRule="auto"/>
            </w:pPr>
            <w:r w:rsidRPr="00DE3F81">
              <w:rPr>
                <w:lang w:val="en-GB"/>
              </w:rPr>
              <w:t>NFR-2.1: ETL window</w:t>
            </w:r>
          </w:p>
        </w:tc>
        <w:tc>
          <w:tcPr>
            <w:tcW w:w="4253" w:type="dxa"/>
            <w:vAlign w:val="center"/>
          </w:tcPr>
          <w:p w14:paraId="6728044C" w14:textId="6F422630" w:rsidR="00482B68" w:rsidRDefault="00482B68" w:rsidP="00482B68">
            <w:pPr>
              <w:spacing w:before="86" w:after="86" w:line="240" w:lineRule="auto"/>
            </w:pPr>
            <w:r w:rsidRPr="00DE3F81">
              <w:rPr>
                <w:sz w:val="20"/>
                <w:szCs w:val="20"/>
                <w:lang w:val="en-GB"/>
              </w:rPr>
              <w:t>The full daily ETL across all 11 sources plus the eSocial Audit DB shall complete within the 02:00 to 04:00 window.</w:t>
            </w:r>
          </w:p>
        </w:tc>
        <w:tc>
          <w:tcPr>
            <w:tcW w:w="3408" w:type="dxa"/>
            <w:vAlign w:val="center"/>
          </w:tcPr>
          <w:p w14:paraId="52E56223" w14:textId="77777777" w:rsidR="00482B68" w:rsidRDefault="00482B68" w:rsidP="00482B68">
            <w:pPr>
              <w:spacing w:before="86" w:after="86" w:line="240" w:lineRule="auto"/>
              <w:rPr>
                <w:rFonts w:eastAsia="MS Mincho"/>
              </w:rPr>
            </w:pPr>
          </w:p>
        </w:tc>
      </w:tr>
      <w:tr w:rsidR="000F29F6" w14:paraId="74B665AF" w14:textId="77777777">
        <w:tc>
          <w:tcPr>
            <w:tcW w:w="1699" w:type="dxa"/>
            <w:vAlign w:val="center"/>
          </w:tcPr>
          <w:p w14:paraId="41A67F8F" w14:textId="04D6AAD4" w:rsidR="000F29F6" w:rsidRPr="00DC1A12" w:rsidRDefault="000F29F6" w:rsidP="00BE01DC">
            <w:pPr>
              <w:spacing w:before="86" w:after="86" w:line="240" w:lineRule="auto"/>
              <w:rPr>
                <w:lang w:val="en-GB"/>
              </w:rPr>
            </w:pPr>
            <w:r w:rsidRPr="00DE3F81">
              <w:rPr>
                <w:lang w:val="en-GB"/>
              </w:rPr>
              <w:t>NFR-2.2: Dashboard query latency</w:t>
            </w:r>
          </w:p>
        </w:tc>
        <w:tc>
          <w:tcPr>
            <w:tcW w:w="4253" w:type="dxa"/>
            <w:vAlign w:val="center"/>
          </w:tcPr>
          <w:p w14:paraId="2B78785A" w14:textId="3A64358C" w:rsidR="000F29F6" w:rsidRPr="00482B68" w:rsidRDefault="000F29F6" w:rsidP="000F29F6">
            <w:pPr>
              <w:spacing w:before="86" w:after="86" w:line="240" w:lineRule="auto"/>
              <w:rPr>
                <w:sz w:val="20"/>
                <w:szCs w:val="20"/>
                <w:lang w:val="en-GB"/>
              </w:rPr>
            </w:pPr>
            <w:r w:rsidRPr="00DE3F81">
              <w:rPr>
                <w:sz w:val="20"/>
                <w:szCs w:val="20"/>
                <w:lang w:val="en-GB"/>
              </w:rPr>
              <w:t>Standard dashboard queries on the BI platform shall return in under 5 seconds at the 95th percentile.</w:t>
            </w:r>
          </w:p>
        </w:tc>
        <w:tc>
          <w:tcPr>
            <w:tcW w:w="3408" w:type="dxa"/>
            <w:vAlign w:val="center"/>
          </w:tcPr>
          <w:p w14:paraId="47ADE1A6" w14:textId="77777777" w:rsidR="000F29F6" w:rsidRDefault="000F29F6" w:rsidP="000F29F6">
            <w:pPr>
              <w:spacing w:before="86" w:after="86" w:line="240" w:lineRule="auto"/>
              <w:rPr>
                <w:rFonts w:eastAsia="MS Mincho"/>
              </w:rPr>
            </w:pPr>
          </w:p>
        </w:tc>
      </w:tr>
      <w:tr w:rsidR="00FD0EAB" w14:paraId="550BAA9C" w14:textId="77777777">
        <w:tc>
          <w:tcPr>
            <w:tcW w:w="1699" w:type="dxa"/>
            <w:vAlign w:val="center"/>
          </w:tcPr>
          <w:p w14:paraId="3531C3FE" w14:textId="2B1C84AB" w:rsidR="00FD0EAB" w:rsidRPr="00DC1A12" w:rsidRDefault="00FD0EAB" w:rsidP="00BE01DC">
            <w:pPr>
              <w:spacing w:before="86" w:after="86" w:line="240" w:lineRule="auto"/>
              <w:rPr>
                <w:lang w:val="en-GB"/>
              </w:rPr>
            </w:pPr>
            <w:r w:rsidRPr="00DE3F81">
              <w:rPr>
                <w:lang w:val="en-GB"/>
              </w:rPr>
              <w:t>NFR-2.3: API response time</w:t>
            </w:r>
          </w:p>
        </w:tc>
        <w:tc>
          <w:tcPr>
            <w:tcW w:w="4253" w:type="dxa"/>
            <w:vAlign w:val="center"/>
          </w:tcPr>
          <w:p w14:paraId="5138BAF8" w14:textId="001A5B9B" w:rsidR="00FD0EAB" w:rsidRPr="00482B68" w:rsidRDefault="00FD0EAB" w:rsidP="00FD0EAB">
            <w:pPr>
              <w:spacing w:before="86" w:after="86" w:line="240" w:lineRule="auto"/>
              <w:rPr>
                <w:sz w:val="20"/>
                <w:szCs w:val="20"/>
                <w:lang w:val="en-GB"/>
              </w:rPr>
            </w:pPr>
            <w:r w:rsidRPr="00DE3F81">
              <w:rPr>
                <w:sz w:val="20"/>
                <w:szCs w:val="20"/>
                <w:lang w:val="en-GB"/>
              </w:rPr>
              <w:t>OWA.DataWarehouse.Api responses shall be under 2 seconds at the 95th percentile for paginated requests of 1000 rows or fewer.</w:t>
            </w:r>
          </w:p>
        </w:tc>
        <w:tc>
          <w:tcPr>
            <w:tcW w:w="3408" w:type="dxa"/>
            <w:vAlign w:val="center"/>
          </w:tcPr>
          <w:p w14:paraId="086991D1" w14:textId="77777777" w:rsidR="00FD0EAB" w:rsidRDefault="00FD0EAB" w:rsidP="00FD0EAB">
            <w:pPr>
              <w:spacing w:before="86" w:after="86" w:line="240" w:lineRule="auto"/>
              <w:rPr>
                <w:rFonts w:eastAsia="MS Mincho"/>
              </w:rPr>
            </w:pPr>
          </w:p>
        </w:tc>
      </w:tr>
      <w:tr w:rsidR="003263CB" w14:paraId="324E3E44" w14:textId="77777777">
        <w:tc>
          <w:tcPr>
            <w:tcW w:w="1699" w:type="dxa"/>
            <w:vAlign w:val="center"/>
          </w:tcPr>
          <w:p w14:paraId="283DDBD2" w14:textId="341DA8DA" w:rsidR="003263CB" w:rsidRPr="00DC1A12" w:rsidRDefault="003263CB" w:rsidP="00BE01DC">
            <w:pPr>
              <w:spacing w:before="86" w:after="86" w:line="240" w:lineRule="auto"/>
              <w:rPr>
                <w:lang w:val="en-GB"/>
              </w:rPr>
            </w:pPr>
            <w:r w:rsidRPr="00DE3F81">
              <w:rPr>
                <w:lang w:val="en-GB"/>
              </w:rPr>
              <w:t>NFR-2.4: Storage capacity</w:t>
            </w:r>
          </w:p>
        </w:tc>
        <w:tc>
          <w:tcPr>
            <w:tcW w:w="4253" w:type="dxa"/>
            <w:vAlign w:val="center"/>
          </w:tcPr>
          <w:p w14:paraId="6826D942" w14:textId="70E37E32" w:rsidR="003263CB" w:rsidRPr="00482B68" w:rsidRDefault="003263CB" w:rsidP="003263CB">
            <w:pPr>
              <w:spacing w:before="86" w:after="86" w:line="240" w:lineRule="auto"/>
              <w:rPr>
                <w:sz w:val="20"/>
                <w:szCs w:val="20"/>
                <w:lang w:val="en-GB"/>
              </w:rPr>
            </w:pPr>
            <w:r w:rsidRPr="00DE3F81">
              <w:rPr>
                <w:sz w:val="20"/>
                <w:szCs w:val="20"/>
                <w:lang w:val="en-GB"/>
              </w:rPr>
              <w:t>The Bronze layer shall accommodate the projected 5-year volume of 5 to 6.2 TB, with annual review and additional storage provisioned by STISC if needed. DDCM is the dominant growth driver at 480 to 550 GB per year with 75-year legal retention.</w:t>
            </w:r>
          </w:p>
        </w:tc>
        <w:tc>
          <w:tcPr>
            <w:tcW w:w="3408" w:type="dxa"/>
            <w:vAlign w:val="center"/>
          </w:tcPr>
          <w:p w14:paraId="3569AE3E" w14:textId="77777777" w:rsidR="003263CB" w:rsidRDefault="003263CB" w:rsidP="003263CB">
            <w:pPr>
              <w:spacing w:before="86" w:after="86" w:line="240" w:lineRule="auto"/>
              <w:rPr>
                <w:rFonts w:eastAsia="MS Mincho"/>
              </w:rPr>
            </w:pPr>
          </w:p>
        </w:tc>
      </w:tr>
      <w:tr w:rsidR="00E63C11" w14:paraId="220D93C8" w14:textId="77777777">
        <w:tc>
          <w:tcPr>
            <w:tcW w:w="1699" w:type="dxa"/>
            <w:vAlign w:val="center"/>
          </w:tcPr>
          <w:p w14:paraId="7AB77EFE" w14:textId="5718B07F" w:rsidR="00E63C11" w:rsidRDefault="00E63C11" w:rsidP="00BE01DC">
            <w:pPr>
              <w:spacing w:before="86" w:after="86" w:line="240" w:lineRule="auto"/>
            </w:pPr>
            <w:r w:rsidRPr="00DE3F81">
              <w:rPr>
                <w:lang w:val="en-GB"/>
              </w:rPr>
              <w:t>NFR-2.5: Concurrent users</w:t>
            </w:r>
          </w:p>
        </w:tc>
        <w:tc>
          <w:tcPr>
            <w:tcW w:w="4253" w:type="dxa"/>
            <w:vAlign w:val="center"/>
          </w:tcPr>
          <w:p w14:paraId="3D403480" w14:textId="1C938019" w:rsidR="00E63C11" w:rsidRDefault="00E63C11" w:rsidP="00E63C11">
            <w:pPr>
              <w:spacing w:before="86" w:after="86" w:line="240" w:lineRule="auto"/>
            </w:pPr>
            <w:r w:rsidRPr="00DE3F81">
              <w:rPr>
                <w:sz w:val="20"/>
                <w:szCs w:val="20"/>
                <w:lang w:val="en-GB"/>
              </w:rPr>
              <w:t>The platform shall support 200 concurrent dashboard users in normal operation, scaling to 500 during peak reporting periods.</w:t>
            </w:r>
          </w:p>
        </w:tc>
        <w:tc>
          <w:tcPr>
            <w:tcW w:w="3408" w:type="dxa"/>
            <w:vAlign w:val="center"/>
          </w:tcPr>
          <w:p w14:paraId="07547A01" w14:textId="77777777" w:rsidR="00E63C11" w:rsidRDefault="00E63C11" w:rsidP="00E63C11">
            <w:pPr>
              <w:spacing w:before="86" w:after="86" w:line="240" w:lineRule="auto"/>
              <w:rPr>
                <w:rFonts w:eastAsia="MS Mincho"/>
              </w:rPr>
            </w:pPr>
          </w:p>
        </w:tc>
      </w:tr>
      <w:tr w:rsidR="00862CEE" w14:paraId="2B2B7556" w14:textId="77777777">
        <w:tc>
          <w:tcPr>
            <w:tcW w:w="1699" w:type="dxa"/>
            <w:vAlign w:val="center"/>
          </w:tcPr>
          <w:p w14:paraId="0F6F5C87" w14:textId="2605EE59" w:rsidR="00862CEE" w:rsidRDefault="00862CEE" w:rsidP="00BE01DC">
            <w:pPr>
              <w:spacing w:before="86" w:after="86" w:line="240" w:lineRule="auto"/>
            </w:pPr>
            <w:r w:rsidRPr="00DE3F81">
              <w:rPr>
                <w:lang w:val="en-GB"/>
              </w:rPr>
              <w:t>NFR-2.6: Scaling trigger for analytical queries</w:t>
            </w:r>
          </w:p>
        </w:tc>
        <w:tc>
          <w:tcPr>
            <w:tcW w:w="4253" w:type="dxa"/>
            <w:vAlign w:val="center"/>
          </w:tcPr>
          <w:p w14:paraId="38365F5C" w14:textId="1F632DB7" w:rsidR="00862CEE" w:rsidRDefault="00862CEE" w:rsidP="00862CEE">
            <w:pPr>
              <w:spacing w:before="86" w:after="86" w:line="240" w:lineRule="auto"/>
            </w:pPr>
            <w:r w:rsidRPr="00DE3F81">
              <w:rPr>
                <w:sz w:val="20"/>
                <w:szCs w:val="20"/>
                <w:lang w:val="en-GB"/>
              </w:rPr>
              <w:t>If more than 5 out of every 100 analytical queries take longer than 5 seconds on Gold layer tables, the DWH shall evaluate migration of the Gold layer to a columnar database engine. This migration does not require changes to the Medallion architecture or to the transformation logic. Bronze and Silver remain on PostgreSQL regardless.</w:t>
            </w:r>
          </w:p>
        </w:tc>
        <w:tc>
          <w:tcPr>
            <w:tcW w:w="3408" w:type="dxa"/>
            <w:vAlign w:val="center"/>
          </w:tcPr>
          <w:p w14:paraId="5043CB0F" w14:textId="77777777" w:rsidR="00862CEE" w:rsidRDefault="00862CEE" w:rsidP="00862CEE">
            <w:pPr>
              <w:spacing w:before="86" w:after="86" w:line="240" w:lineRule="auto"/>
              <w:rPr>
                <w:rFonts w:eastAsia="MS Mincho"/>
              </w:rPr>
            </w:pPr>
          </w:p>
        </w:tc>
      </w:tr>
    </w:tbl>
    <w:p w14:paraId="07459315" w14:textId="77777777" w:rsidR="003906A8" w:rsidRDefault="003906A8" w:rsidP="00AC60D4"/>
    <w:p w14:paraId="6EDD2FDD" w14:textId="77777777" w:rsidR="00D96023" w:rsidRPr="00DE3F81" w:rsidRDefault="00D96023" w:rsidP="00DE3F81">
      <w:pPr>
        <w:pStyle w:val="Heading3"/>
        <w:keepNext w:val="0"/>
        <w:keepLines w:val="0"/>
        <w:rPr>
          <w:color w:val="243F60" w:themeColor="accent1" w:themeShade="7F"/>
          <w:sz w:val="24"/>
          <w:szCs w:val="28"/>
          <w:lang w:val="en-GB"/>
        </w:rPr>
      </w:pPr>
      <w:bookmarkStart w:id="11" w:name="_Toc236911033"/>
      <w:r w:rsidRPr="00DE3F81">
        <w:rPr>
          <w:color w:val="243F60" w:themeColor="accent1" w:themeShade="7F"/>
          <w:sz w:val="24"/>
          <w:szCs w:val="28"/>
          <w:lang w:val="en-GB"/>
        </w:rPr>
        <w:t>3. Security requirements</w:t>
      </w:r>
      <w:bookmarkEnd w:id="11"/>
    </w:p>
    <w:p w14:paraId="06B9A63A" w14:textId="3964E699" w:rsidR="003906A8" w:rsidRPr="00D96023" w:rsidRDefault="00D96023" w:rsidP="00D96023">
      <w:pPr>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color w:val="232425"/>
          <w:lang w:val="en-GB"/>
        </w:rPr>
      </w:pPr>
      <w:r w:rsidRPr="00DE3F81">
        <w:rPr>
          <w:b/>
          <w:color w:val="232425"/>
          <w:lang w:val="en-GB"/>
        </w:rPr>
        <w:t>List of non-functional requirements:</w:t>
      </w:r>
      <w:r w:rsidRPr="00DE3F81">
        <w:rPr>
          <w:color w:val="232425"/>
          <w:lang w:val="en-GB"/>
        </w:rPr>
        <w:t xml:space="preserve"> </w:t>
      </w:r>
    </w:p>
    <w:tbl>
      <w:tblPr>
        <w:tblStyle w:val="TableGrid"/>
        <w:tblW w:w="9360" w:type="dxa"/>
        <w:tblInd w:w="105" w:type="dxa"/>
        <w:tblLayout w:type="fixed"/>
        <w:tblLook w:val="04A0" w:firstRow="1" w:lastRow="0" w:firstColumn="1" w:lastColumn="0" w:noHBand="0" w:noVBand="1"/>
      </w:tblPr>
      <w:tblGrid>
        <w:gridCol w:w="1699"/>
        <w:gridCol w:w="4240"/>
        <w:gridCol w:w="3421"/>
      </w:tblGrid>
      <w:tr w:rsidR="003906A8" w14:paraId="3BD44B84" w14:textId="77777777">
        <w:tc>
          <w:tcPr>
            <w:tcW w:w="1699" w:type="dxa"/>
            <w:shd w:val="clear" w:color="auto" w:fill="E7E6E6"/>
            <w:vAlign w:val="center"/>
          </w:tcPr>
          <w:p w14:paraId="5FCA11D4" w14:textId="29C6D629" w:rsidR="003906A8" w:rsidRDefault="00223CE6" w:rsidP="00BE01DC">
            <w:pPr>
              <w:spacing w:before="86" w:after="115" w:line="240" w:lineRule="auto"/>
            </w:pPr>
            <w:r w:rsidRPr="00DE3F81">
              <w:rPr>
                <w:b/>
                <w:bCs/>
                <w:lang w:val="en-GB"/>
              </w:rPr>
              <w:lastRenderedPageBreak/>
              <w:t>Requirement</w:t>
            </w:r>
            <w:r>
              <w:rPr>
                <w:rFonts w:eastAsia="MS Mincho"/>
                <w:b/>
                <w:sz w:val="20"/>
              </w:rPr>
              <w:t xml:space="preserve"> </w:t>
            </w:r>
            <w:r w:rsidR="008F5A93">
              <w:rPr>
                <w:rFonts w:eastAsia="MS Mincho"/>
                <w:b/>
                <w:sz w:val="20"/>
              </w:rPr>
              <w:t>ID</w:t>
            </w:r>
          </w:p>
        </w:tc>
        <w:tc>
          <w:tcPr>
            <w:tcW w:w="4240" w:type="dxa"/>
            <w:shd w:val="clear" w:color="auto" w:fill="E7E6E6"/>
            <w:vAlign w:val="center"/>
          </w:tcPr>
          <w:p w14:paraId="76870B61" w14:textId="77777777" w:rsidR="003906A8" w:rsidRDefault="008F5A93">
            <w:pPr>
              <w:spacing w:before="86" w:after="115" w:line="240" w:lineRule="auto"/>
              <w:jc w:val="center"/>
            </w:pPr>
            <w:r>
              <w:rPr>
                <w:rFonts w:eastAsia="MS Mincho"/>
                <w:b/>
                <w:sz w:val="20"/>
              </w:rPr>
              <w:t>Explanation</w:t>
            </w:r>
          </w:p>
        </w:tc>
        <w:tc>
          <w:tcPr>
            <w:tcW w:w="3421" w:type="dxa"/>
            <w:shd w:val="clear" w:color="auto" w:fill="E7E6E6"/>
            <w:vAlign w:val="center"/>
          </w:tcPr>
          <w:p w14:paraId="748FD5E8" w14:textId="77777777" w:rsidR="003906A8" w:rsidRDefault="008F5A93">
            <w:pPr>
              <w:spacing w:before="86" w:after="115" w:line="240" w:lineRule="auto"/>
            </w:pPr>
            <w:r>
              <w:rPr>
                <w:rFonts w:cstheme="minorHAnsi"/>
                <w:b/>
                <w:bCs/>
                <w:color w:val="232425"/>
                <w:sz w:val="20"/>
              </w:rPr>
              <w:t>Descriptions and references of the proposed solution meeting the requirements (including reference to the relevant pages from the proposal)</w:t>
            </w:r>
          </w:p>
        </w:tc>
      </w:tr>
      <w:tr w:rsidR="003210B2" w14:paraId="4ECCF7DF" w14:textId="77777777">
        <w:tc>
          <w:tcPr>
            <w:tcW w:w="1699" w:type="dxa"/>
            <w:vAlign w:val="center"/>
          </w:tcPr>
          <w:p w14:paraId="616BD2A1" w14:textId="63F20809" w:rsidR="003210B2" w:rsidRDefault="003210B2" w:rsidP="00BE01DC">
            <w:pPr>
              <w:spacing w:before="86" w:after="115" w:line="240" w:lineRule="auto"/>
            </w:pPr>
            <w:r w:rsidRPr="00DE3F81">
              <w:rPr>
                <w:color w:val="232425"/>
                <w:lang w:val="en-GB"/>
              </w:rPr>
              <w:t>NFR-3.1: Secure development</w:t>
            </w:r>
          </w:p>
        </w:tc>
        <w:tc>
          <w:tcPr>
            <w:tcW w:w="4240" w:type="dxa"/>
            <w:vAlign w:val="center"/>
          </w:tcPr>
          <w:p w14:paraId="6C1BEFC4" w14:textId="2D4E40BD" w:rsidR="003210B2" w:rsidRDefault="003210B2" w:rsidP="003210B2">
            <w:pPr>
              <w:spacing w:before="86" w:after="115" w:line="240" w:lineRule="auto"/>
            </w:pPr>
            <w:r w:rsidRPr="00DE3F81">
              <w:rPr>
                <w:color w:val="232425"/>
                <w:sz w:val="20"/>
                <w:szCs w:val="20"/>
                <w:lang w:val="en-GB"/>
              </w:rPr>
              <w:t>Code shall be developed in accordance with security principles, with strict input validation, exclusive use of up-to-date frameworks, static code analysis, multiple code review, and periodic penetration testing.</w:t>
            </w:r>
          </w:p>
        </w:tc>
        <w:tc>
          <w:tcPr>
            <w:tcW w:w="3421" w:type="dxa"/>
            <w:vAlign w:val="center"/>
          </w:tcPr>
          <w:p w14:paraId="6537F28F" w14:textId="77777777" w:rsidR="003210B2" w:rsidRDefault="003210B2" w:rsidP="003210B2">
            <w:pPr>
              <w:spacing w:before="86" w:after="115" w:line="240" w:lineRule="auto"/>
              <w:rPr>
                <w:rFonts w:eastAsia="MS Mincho"/>
              </w:rPr>
            </w:pPr>
          </w:p>
        </w:tc>
      </w:tr>
      <w:tr w:rsidR="003A04B9" w14:paraId="0115B3AC" w14:textId="77777777">
        <w:tc>
          <w:tcPr>
            <w:tcW w:w="1699" w:type="dxa"/>
            <w:vAlign w:val="center"/>
          </w:tcPr>
          <w:p w14:paraId="4C69A94B" w14:textId="1EBE26D6" w:rsidR="003A04B9" w:rsidRDefault="003A04B9" w:rsidP="00BE01DC">
            <w:pPr>
              <w:spacing w:before="86" w:after="115" w:line="240" w:lineRule="auto"/>
            </w:pPr>
            <w:r w:rsidRPr="00DE3F81">
              <w:rPr>
                <w:color w:val="232425"/>
                <w:lang w:val="en-GB"/>
              </w:rPr>
              <w:t>NFR-3.2: Encryption</w:t>
            </w:r>
          </w:p>
        </w:tc>
        <w:tc>
          <w:tcPr>
            <w:tcW w:w="4240" w:type="dxa"/>
            <w:vAlign w:val="center"/>
          </w:tcPr>
          <w:p w14:paraId="7B1A5355" w14:textId="006EEBD2" w:rsidR="003A04B9" w:rsidRDefault="003A04B9" w:rsidP="003A04B9">
            <w:pPr>
              <w:spacing w:before="86" w:after="115" w:line="240" w:lineRule="auto"/>
            </w:pPr>
            <w:r w:rsidRPr="00DE3F81">
              <w:rPr>
                <w:color w:val="232425"/>
                <w:sz w:val="20"/>
                <w:szCs w:val="20"/>
                <w:lang w:val="en-GB"/>
              </w:rPr>
              <w:t>All data in transit shall use TLS 1.3 or higher. All data at rest shall be encrypted (PostgreSQL transparent data encryption or filesystem-level encryption depending on STISC capability), complying with GDPR requirements.</w:t>
            </w:r>
          </w:p>
        </w:tc>
        <w:tc>
          <w:tcPr>
            <w:tcW w:w="3421" w:type="dxa"/>
            <w:vAlign w:val="center"/>
          </w:tcPr>
          <w:p w14:paraId="6DFB9E20" w14:textId="77777777" w:rsidR="003A04B9" w:rsidRDefault="003A04B9" w:rsidP="003A04B9">
            <w:pPr>
              <w:spacing w:before="86" w:after="115" w:line="240" w:lineRule="auto"/>
              <w:rPr>
                <w:rFonts w:eastAsia="MS Mincho"/>
              </w:rPr>
            </w:pPr>
          </w:p>
        </w:tc>
      </w:tr>
      <w:tr w:rsidR="007A77E7" w14:paraId="0DBC0561" w14:textId="77777777">
        <w:tc>
          <w:tcPr>
            <w:tcW w:w="1699" w:type="dxa"/>
            <w:vAlign w:val="center"/>
          </w:tcPr>
          <w:p w14:paraId="6E7D3F99" w14:textId="54A592AE" w:rsidR="007A77E7" w:rsidRDefault="007A77E7" w:rsidP="00BE01DC">
            <w:pPr>
              <w:spacing w:before="86" w:after="115" w:line="240" w:lineRule="auto"/>
              <w:rPr>
                <w:rFonts w:eastAsia="MS Mincho"/>
                <w:b/>
                <w:sz w:val="20"/>
              </w:rPr>
            </w:pPr>
            <w:r w:rsidRPr="00DE3F81">
              <w:rPr>
                <w:color w:val="232425"/>
                <w:lang w:val="en-GB"/>
              </w:rPr>
              <w:t>NFR-3.3: Authentication and authorisation</w:t>
            </w:r>
          </w:p>
        </w:tc>
        <w:tc>
          <w:tcPr>
            <w:tcW w:w="4240" w:type="dxa"/>
            <w:vAlign w:val="center"/>
          </w:tcPr>
          <w:p w14:paraId="55FDD248" w14:textId="6EF8F76C" w:rsidR="007A77E7" w:rsidRDefault="007A77E7" w:rsidP="007A77E7">
            <w:pPr>
              <w:spacing w:before="86" w:after="115" w:line="240" w:lineRule="auto"/>
              <w:rPr>
                <w:rFonts w:eastAsia="MS Mincho"/>
                <w:sz w:val="20"/>
              </w:rPr>
            </w:pPr>
            <w:r w:rsidRPr="00DE3F81">
              <w:rPr>
                <w:color w:val="232425"/>
                <w:sz w:val="20"/>
                <w:szCs w:val="20"/>
                <w:lang w:val="en-GB"/>
              </w:rPr>
              <w:t>All human user access (dashboards, data catalog, admin endpoints) shall use MPass single sign-on. Service-to-service access shall use OAuth 2.0 client credentials flow.</w:t>
            </w:r>
          </w:p>
        </w:tc>
        <w:tc>
          <w:tcPr>
            <w:tcW w:w="3421" w:type="dxa"/>
            <w:vAlign w:val="center"/>
          </w:tcPr>
          <w:p w14:paraId="0578FE2F" w14:textId="77777777" w:rsidR="007A77E7" w:rsidRDefault="007A77E7" w:rsidP="007A77E7">
            <w:pPr>
              <w:spacing w:before="86" w:after="115" w:line="240" w:lineRule="auto"/>
              <w:rPr>
                <w:rFonts w:eastAsia="MS Mincho"/>
              </w:rPr>
            </w:pPr>
          </w:p>
        </w:tc>
      </w:tr>
      <w:tr w:rsidR="00910C94" w14:paraId="5EE1AA5D" w14:textId="77777777">
        <w:tc>
          <w:tcPr>
            <w:tcW w:w="1699" w:type="dxa"/>
            <w:vAlign w:val="center"/>
          </w:tcPr>
          <w:p w14:paraId="0EFE1108" w14:textId="7ECC3B2E" w:rsidR="00910C94" w:rsidRDefault="00910C94" w:rsidP="00BE01DC">
            <w:pPr>
              <w:spacing w:before="86" w:after="115" w:line="240" w:lineRule="auto"/>
            </w:pPr>
            <w:r w:rsidRPr="00DE3F81">
              <w:rPr>
                <w:color w:val="232425"/>
                <w:lang w:val="en-GB"/>
              </w:rPr>
              <w:t>NFR-3.4: Monitoring and auditing</w:t>
            </w:r>
          </w:p>
        </w:tc>
        <w:tc>
          <w:tcPr>
            <w:tcW w:w="4240" w:type="dxa"/>
            <w:vAlign w:val="center"/>
          </w:tcPr>
          <w:p w14:paraId="34C60A56" w14:textId="3D4E0AA9" w:rsidR="00910C94" w:rsidRDefault="00910C94" w:rsidP="00910C94">
            <w:pPr>
              <w:spacing w:before="86" w:after="115" w:line="240" w:lineRule="auto"/>
            </w:pPr>
            <w:r w:rsidRPr="00DE3F81">
              <w:rPr>
                <w:color w:val="232425"/>
                <w:sz w:val="20"/>
                <w:szCs w:val="20"/>
                <w:lang w:val="en-GB"/>
              </w:rPr>
              <w:t>All actions shall be centrally monitored and logged using an open-source monitoring stack and the eSocial Audit service, with log retention as required by law.</w:t>
            </w:r>
          </w:p>
        </w:tc>
        <w:tc>
          <w:tcPr>
            <w:tcW w:w="3421" w:type="dxa"/>
            <w:vAlign w:val="center"/>
          </w:tcPr>
          <w:p w14:paraId="70DF9E56" w14:textId="77777777" w:rsidR="00910C94" w:rsidRDefault="00910C94" w:rsidP="00910C94">
            <w:pPr>
              <w:spacing w:before="86" w:after="115" w:line="240" w:lineRule="auto"/>
              <w:rPr>
                <w:rFonts w:eastAsia="MS Mincho"/>
              </w:rPr>
            </w:pPr>
          </w:p>
        </w:tc>
      </w:tr>
      <w:tr w:rsidR="00440779" w14:paraId="16E12AC1" w14:textId="77777777">
        <w:tc>
          <w:tcPr>
            <w:tcW w:w="1699" w:type="dxa"/>
            <w:vAlign w:val="center"/>
          </w:tcPr>
          <w:p w14:paraId="7C2760DF" w14:textId="257D2AB2" w:rsidR="00440779" w:rsidRDefault="00440779" w:rsidP="00BE01DC">
            <w:pPr>
              <w:spacing w:before="86" w:after="115" w:line="240" w:lineRule="auto"/>
            </w:pPr>
            <w:r w:rsidRPr="00DE3F81">
              <w:rPr>
                <w:color w:val="232425"/>
                <w:lang w:val="en-GB"/>
              </w:rPr>
              <w:t>NFR-3.5: Standards compliance</w:t>
            </w:r>
          </w:p>
        </w:tc>
        <w:tc>
          <w:tcPr>
            <w:tcW w:w="4240" w:type="dxa"/>
            <w:vAlign w:val="center"/>
          </w:tcPr>
          <w:p w14:paraId="43A6DB56" w14:textId="037130FF" w:rsidR="00440779" w:rsidRDefault="00440779" w:rsidP="00440779">
            <w:pPr>
              <w:spacing w:before="86" w:after="115" w:line="240" w:lineRule="auto"/>
            </w:pPr>
            <w:r w:rsidRPr="00DE3F81">
              <w:rPr>
                <w:color w:val="232425"/>
                <w:sz w:val="20"/>
                <w:szCs w:val="20"/>
                <w:lang w:val="en-GB"/>
              </w:rPr>
              <w:t>The DWH shall comply with national security standards, with periodic auditing and implementation of recommended security measures.</w:t>
            </w:r>
          </w:p>
        </w:tc>
        <w:tc>
          <w:tcPr>
            <w:tcW w:w="3421" w:type="dxa"/>
            <w:vAlign w:val="center"/>
          </w:tcPr>
          <w:p w14:paraId="44E871BC" w14:textId="77777777" w:rsidR="00440779" w:rsidRDefault="00440779" w:rsidP="00440779">
            <w:pPr>
              <w:spacing w:before="86" w:after="115" w:line="240" w:lineRule="auto"/>
              <w:rPr>
                <w:rFonts w:eastAsia="MS Mincho"/>
              </w:rPr>
            </w:pPr>
          </w:p>
        </w:tc>
      </w:tr>
    </w:tbl>
    <w:p w14:paraId="144A5D23" w14:textId="77777777" w:rsidR="003906A8" w:rsidRDefault="003906A8">
      <w:pPr>
        <w:spacing w:after="80"/>
        <w:rPr>
          <w:b/>
        </w:rPr>
      </w:pPr>
    </w:p>
    <w:p w14:paraId="01F1F1EF" w14:textId="77777777" w:rsidR="00B80800" w:rsidRPr="00DE3F81" w:rsidRDefault="00B80800" w:rsidP="00DE3F81">
      <w:pPr>
        <w:pStyle w:val="Heading3"/>
        <w:rPr>
          <w:color w:val="243F60" w:themeColor="accent1" w:themeShade="7F"/>
          <w:sz w:val="24"/>
          <w:szCs w:val="28"/>
          <w:lang w:val="en-GB"/>
        </w:rPr>
      </w:pPr>
      <w:bookmarkStart w:id="12" w:name="_heading=h.blklqff1gvxx" w:colFirst="0" w:colLast="0"/>
      <w:bookmarkStart w:id="13" w:name="_Toc236911034"/>
      <w:bookmarkEnd w:id="12"/>
      <w:r w:rsidRPr="00DE3F81">
        <w:rPr>
          <w:color w:val="243F60" w:themeColor="accent1" w:themeShade="7F"/>
          <w:sz w:val="24"/>
          <w:szCs w:val="28"/>
          <w:lang w:val="en-GB"/>
        </w:rPr>
        <w:t>4. Availability and recovery</w:t>
      </w:r>
      <w:bookmarkEnd w:id="13"/>
    </w:p>
    <w:p w14:paraId="7841AC44" w14:textId="015FC7E4" w:rsidR="003906A8" w:rsidRPr="00B80800" w:rsidRDefault="00B80800" w:rsidP="00B80800">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color w:val="232425"/>
          <w:lang w:val="en-GB"/>
        </w:rPr>
      </w:pPr>
      <w:r w:rsidRPr="00DE3F81">
        <w:rPr>
          <w:b/>
          <w:color w:val="232425"/>
          <w:lang w:val="en-GB"/>
        </w:rPr>
        <w:t>List of non-functional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532F81E3" w14:textId="77777777">
        <w:tc>
          <w:tcPr>
            <w:tcW w:w="1699" w:type="dxa"/>
            <w:shd w:val="clear" w:color="auto" w:fill="E7E6E6"/>
            <w:vAlign w:val="center"/>
          </w:tcPr>
          <w:p w14:paraId="18517F34" w14:textId="77777777" w:rsidR="003906A8" w:rsidRDefault="008F5A93" w:rsidP="00BE01DC">
            <w:pPr>
              <w:spacing w:before="86" w:after="115" w:line="240" w:lineRule="auto"/>
            </w:pPr>
            <w:r>
              <w:rPr>
                <w:rFonts w:eastAsia="MS Mincho"/>
                <w:b/>
                <w:sz w:val="20"/>
              </w:rPr>
              <w:t>Requirement ID</w:t>
            </w:r>
          </w:p>
        </w:tc>
        <w:tc>
          <w:tcPr>
            <w:tcW w:w="4253" w:type="dxa"/>
            <w:shd w:val="clear" w:color="auto" w:fill="E7E6E6"/>
            <w:vAlign w:val="center"/>
          </w:tcPr>
          <w:p w14:paraId="32F2159D" w14:textId="77777777" w:rsidR="003906A8" w:rsidRDefault="008F5A93">
            <w:pPr>
              <w:spacing w:before="86" w:after="115" w:line="240" w:lineRule="auto"/>
              <w:jc w:val="center"/>
            </w:pPr>
            <w:r>
              <w:rPr>
                <w:rFonts w:eastAsia="MS Mincho"/>
                <w:b/>
                <w:sz w:val="20"/>
              </w:rPr>
              <w:t>Explanation</w:t>
            </w:r>
          </w:p>
        </w:tc>
        <w:tc>
          <w:tcPr>
            <w:tcW w:w="3408" w:type="dxa"/>
            <w:shd w:val="clear" w:color="auto" w:fill="E7E6E6"/>
            <w:vAlign w:val="center"/>
          </w:tcPr>
          <w:p w14:paraId="1855932C" w14:textId="77777777" w:rsidR="003906A8" w:rsidRDefault="008F5A93">
            <w:pPr>
              <w:spacing w:before="86" w:after="115" w:line="240" w:lineRule="auto"/>
            </w:pPr>
            <w:r>
              <w:rPr>
                <w:rFonts w:cstheme="minorHAnsi"/>
                <w:b/>
                <w:bCs/>
                <w:color w:val="232425"/>
                <w:sz w:val="20"/>
              </w:rPr>
              <w:t>Descriptions and references of the proposed solution meeting the requirements (including reference to the relevant pages from the proposal)</w:t>
            </w:r>
          </w:p>
        </w:tc>
      </w:tr>
      <w:tr w:rsidR="00A0700F" w14:paraId="67126F54" w14:textId="77777777" w:rsidTr="00EE1256">
        <w:tc>
          <w:tcPr>
            <w:tcW w:w="1699" w:type="dxa"/>
          </w:tcPr>
          <w:p w14:paraId="208D8F8D" w14:textId="079B7765" w:rsidR="00A0700F" w:rsidRDefault="00A0700F" w:rsidP="00BE01DC">
            <w:pPr>
              <w:spacing w:before="86" w:after="115" w:line="240" w:lineRule="auto"/>
            </w:pPr>
            <w:r w:rsidRPr="00DE3F81">
              <w:rPr>
                <w:bCs/>
                <w:color w:val="232425"/>
                <w:lang w:val="en-GB"/>
              </w:rPr>
              <w:t>NFR-4.1: Availability</w:t>
            </w:r>
          </w:p>
        </w:tc>
        <w:tc>
          <w:tcPr>
            <w:tcW w:w="4253" w:type="dxa"/>
          </w:tcPr>
          <w:p w14:paraId="3CB13315" w14:textId="1E38B7CC" w:rsidR="00A0700F" w:rsidRDefault="00A0700F" w:rsidP="00A0700F">
            <w:pPr>
              <w:spacing w:before="86" w:after="115" w:line="240" w:lineRule="auto"/>
            </w:pPr>
            <w:r w:rsidRPr="00DE3F81">
              <w:rPr>
                <w:color w:val="232425"/>
                <w:sz w:val="20"/>
                <w:szCs w:val="20"/>
                <w:lang w:val="en-GB"/>
              </w:rPr>
              <w:t>The system shall provide a minimum of 99.5 percent availability, with scheduled maintenance outages during non-business hours and implementation of automatic failover mechanisms.</w:t>
            </w:r>
          </w:p>
        </w:tc>
        <w:tc>
          <w:tcPr>
            <w:tcW w:w="3408" w:type="dxa"/>
            <w:vAlign w:val="center"/>
          </w:tcPr>
          <w:p w14:paraId="738610EB" w14:textId="77777777" w:rsidR="00A0700F" w:rsidRDefault="00A0700F" w:rsidP="00A0700F">
            <w:pPr>
              <w:spacing w:before="86" w:after="115" w:line="240" w:lineRule="auto"/>
              <w:rPr>
                <w:rFonts w:eastAsia="MS Mincho"/>
              </w:rPr>
            </w:pPr>
          </w:p>
        </w:tc>
      </w:tr>
      <w:tr w:rsidR="003F1A31" w14:paraId="3850AD05" w14:textId="77777777" w:rsidTr="008E348F">
        <w:tc>
          <w:tcPr>
            <w:tcW w:w="1699" w:type="dxa"/>
          </w:tcPr>
          <w:p w14:paraId="441165CE" w14:textId="2D1209A1" w:rsidR="003F1A31" w:rsidRDefault="003F1A31" w:rsidP="00BE01DC">
            <w:pPr>
              <w:spacing w:before="86" w:after="115" w:line="240" w:lineRule="auto"/>
            </w:pPr>
            <w:r w:rsidRPr="00DE3F81">
              <w:rPr>
                <w:bCs/>
                <w:color w:val="232425"/>
                <w:lang w:val="en-GB"/>
              </w:rPr>
              <w:t>NFR-4.2: Backup and recovery</w:t>
            </w:r>
          </w:p>
        </w:tc>
        <w:tc>
          <w:tcPr>
            <w:tcW w:w="4253" w:type="dxa"/>
          </w:tcPr>
          <w:p w14:paraId="7F7F9760" w14:textId="5B98578B" w:rsidR="003F1A31" w:rsidRDefault="003F1A31" w:rsidP="003F1A31">
            <w:pPr>
              <w:spacing w:before="86" w:after="115" w:line="240" w:lineRule="auto"/>
            </w:pPr>
            <w:r w:rsidRPr="00DE3F81">
              <w:rPr>
                <w:color w:val="232425"/>
                <w:sz w:val="20"/>
                <w:szCs w:val="20"/>
                <w:lang w:val="en-GB"/>
              </w:rPr>
              <w:t xml:space="preserve">Daily backups for databases (7 days retention), weekly backups (4 weeks retention), and monthly backups (12 months retention) shall be implemented, together with backups for the event broker, object storage, and other application state via VM snapshots. Recovery </w:t>
            </w:r>
            <w:r w:rsidRPr="00DE3F81">
              <w:rPr>
                <w:color w:val="232425"/>
                <w:sz w:val="20"/>
                <w:szCs w:val="20"/>
                <w:lang w:val="en-GB"/>
              </w:rPr>
              <w:lastRenderedPageBreak/>
              <w:t>shall be possible within 4 hours for hardware problems, within 24 hours for cyber-attacks, and within 72 hours for natural disasters. STISC backup infrastructure is the backup target.</w:t>
            </w:r>
          </w:p>
        </w:tc>
        <w:tc>
          <w:tcPr>
            <w:tcW w:w="3408" w:type="dxa"/>
            <w:vAlign w:val="center"/>
          </w:tcPr>
          <w:p w14:paraId="637805D2" w14:textId="77777777" w:rsidR="003F1A31" w:rsidRDefault="003F1A31" w:rsidP="003F1A31">
            <w:pPr>
              <w:spacing w:before="86" w:after="115" w:line="240" w:lineRule="auto"/>
              <w:rPr>
                <w:rFonts w:eastAsia="MS Mincho"/>
              </w:rPr>
            </w:pPr>
          </w:p>
        </w:tc>
      </w:tr>
      <w:tr w:rsidR="00DC0796" w14:paraId="2069F710" w14:textId="77777777" w:rsidTr="00117161">
        <w:tc>
          <w:tcPr>
            <w:tcW w:w="1699" w:type="dxa"/>
          </w:tcPr>
          <w:p w14:paraId="17862F72" w14:textId="79CDB2E3" w:rsidR="00DC0796" w:rsidRDefault="00DC0796" w:rsidP="00BE01DC">
            <w:pPr>
              <w:spacing w:before="86" w:after="115" w:line="240" w:lineRule="auto"/>
            </w:pPr>
            <w:r w:rsidRPr="00DE3F81">
              <w:rPr>
                <w:bCs/>
                <w:color w:val="232425"/>
                <w:lang w:val="en-GB"/>
              </w:rPr>
              <w:t>NFR-4.3: Redundancy</w:t>
            </w:r>
          </w:p>
        </w:tc>
        <w:tc>
          <w:tcPr>
            <w:tcW w:w="4253" w:type="dxa"/>
          </w:tcPr>
          <w:p w14:paraId="17677050" w14:textId="3F0ED24A" w:rsidR="00DC0796" w:rsidRDefault="00DC0796" w:rsidP="00DC0796">
            <w:pPr>
              <w:spacing w:before="86" w:after="115" w:line="240" w:lineRule="auto"/>
            </w:pPr>
            <w:r w:rsidRPr="00DE3F81">
              <w:rPr>
                <w:color w:val="232425"/>
                <w:sz w:val="20"/>
                <w:szCs w:val="20"/>
                <w:lang w:val="en-GB"/>
              </w:rPr>
              <w:t>The system shall implement redundancy at the service and data level, with backup servers and synchronization mechanisms to ensure service continuity.</w:t>
            </w:r>
          </w:p>
        </w:tc>
        <w:tc>
          <w:tcPr>
            <w:tcW w:w="3408" w:type="dxa"/>
            <w:vAlign w:val="center"/>
          </w:tcPr>
          <w:p w14:paraId="463F29E8" w14:textId="77777777" w:rsidR="00DC0796" w:rsidRDefault="00DC0796" w:rsidP="00DC0796">
            <w:pPr>
              <w:spacing w:before="86" w:after="115" w:line="240" w:lineRule="auto"/>
              <w:rPr>
                <w:rFonts w:eastAsia="MS Mincho"/>
              </w:rPr>
            </w:pPr>
          </w:p>
        </w:tc>
      </w:tr>
    </w:tbl>
    <w:p w14:paraId="33ABEF44" w14:textId="77777777" w:rsidR="00AC60D4" w:rsidRDefault="00AC60D4" w:rsidP="00AC60D4">
      <w:pPr>
        <w:rPr>
          <w:lang w:val="en-GB"/>
        </w:rPr>
      </w:pPr>
      <w:bookmarkStart w:id="14" w:name="_Toc236911035"/>
    </w:p>
    <w:p w14:paraId="66C197F6" w14:textId="2511B726" w:rsidR="003C36EC" w:rsidRPr="00DE3F81" w:rsidRDefault="003C36EC" w:rsidP="00DE3F81">
      <w:pPr>
        <w:pStyle w:val="Heading3"/>
        <w:rPr>
          <w:color w:val="243F60" w:themeColor="accent1" w:themeShade="7F"/>
          <w:sz w:val="24"/>
          <w:szCs w:val="28"/>
          <w:lang w:val="en-GB"/>
        </w:rPr>
      </w:pPr>
      <w:r w:rsidRPr="00DE3F81">
        <w:rPr>
          <w:color w:val="243F60" w:themeColor="accent1" w:themeShade="7F"/>
          <w:sz w:val="24"/>
          <w:szCs w:val="28"/>
          <w:lang w:val="en-GB"/>
        </w:rPr>
        <w:t>5. Integration</w:t>
      </w:r>
      <w:bookmarkEnd w:id="14"/>
    </w:p>
    <w:p w14:paraId="5CD70875" w14:textId="3E095679" w:rsidR="003906A8" w:rsidRPr="003C36EC" w:rsidRDefault="003C36EC" w:rsidP="003C36EC">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color w:val="232425"/>
          <w:lang w:val="en-GB"/>
        </w:rPr>
      </w:pPr>
      <w:r w:rsidRPr="00DE3F81">
        <w:rPr>
          <w:b/>
          <w:color w:val="232425"/>
          <w:lang w:val="en-GB"/>
        </w:rPr>
        <w:t>List of non-functional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2B5B86A9" w14:textId="77777777">
        <w:tc>
          <w:tcPr>
            <w:tcW w:w="1699" w:type="dxa"/>
            <w:shd w:val="clear" w:color="auto" w:fill="E7E6E6"/>
            <w:vAlign w:val="center"/>
          </w:tcPr>
          <w:p w14:paraId="650169E8" w14:textId="370E926B" w:rsidR="003906A8" w:rsidRPr="000B0D51" w:rsidRDefault="000B0D51" w:rsidP="00BE01DC">
            <w:pPr>
              <w:spacing w:before="86" w:after="86" w:line="240" w:lineRule="auto"/>
              <w:rPr>
                <w:rFonts w:eastAsia="MS Mincho"/>
                <w:b/>
                <w:sz w:val="20"/>
              </w:rPr>
            </w:pPr>
            <w:r w:rsidRPr="00DE3F81">
              <w:rPr>
                <w:b/>
                <w:color w:val="232425"/>
                <w:lang w:val="en-GB"/>
              </w:rPr>
              <w:t>Requirement</w:t>
            </w:r>
            <w:r>
              <w:rPr>
                <w:rFonts w:eastAsia="MS Mincho"/>
                <w:b/>
                <w:sz w:val="20"/>
              </w:rPr>
              <w:t xml:space="preserve"> </w:t>
            </w:r>
            <w:r w:rsidR="008F5A93">
              <w:rPr>
                <w:rFonts w:eastAsia="MS Mincho"/>
                <w:b/>
                <w:sz w:val="20"/>
              </w:rPr>
              <w:t>ID</w:t>
            </w:r>
          </w:p>
        </w:tc>
        <w:tc>
          <w:tcPr>
            <w:tcW w:w="4253" w:type="dxa"/>
            <w:shd w:val="clear" w:color="auto" w:fill="E7E6E6"/>
            <w:vAlign w:val="center"/>
          </w:tcPr>
          <w:p w14:paraId="10D3B80B" w14:textId="77777777" w:rsidR="003906A8" w:rsidRDefault="008F5A93">
            <w:pPr>
              <w:spacing w:before="86" w:after="86" w:line="240" w:lineRule="auto"/>
              <w:jc w:val="center"/>
            </w:pPr>
            <w:r>
              <w:rPr>
                <w:rFonts w:eastAsia="MS Mincho"/>
                <w:b/>
                <w:sz w:val="20"/>
              </w:rPr>
              <w:t>Explanation</w:t>
            </w:r>
          </w:p>
        </w:tc>
        <w:tc>
          <w:tcPr>
            <w:tcW w:w="3408" w:type="dxa"/>
            <w:shd w:val="clear" w:color="auto" w:fill="E7E6E6"/>
            <w:vAlign w:val="center"/>
          </w:tcPr>
          <w:p w14:paraId="738FF0C0"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337013" w14:paraId="1198419D" w14:textId="77777777" w:rsidTr="00433DD2">
        <w:tc>
          <w:tcPr>
            <w:tcW w:w="1699" w:type="dxa"/>
          </w:tcPr>
          <w:p w14:paraId="1325F28B" w14:textId="0228B52B" w:rsidR="00337013" w:rsidRDefault="00337013" w:rsidP="00BE01DC">
            <w:pPr>
              <w:spacing w:before="86" w:after="86" w:line="240" w:lineRule="auto"/>
            </w:pPr>
            <w:r w:rsidRPr="00DE3F81">
              <w:rPr>
                <w:bCs/>
                <w:color w:val="232425"/>
                <w:lang w:val="en-GB"/>
              </w:rPr>
              <w:t>NFR-5.1: Reference data via stored MConnect responses</w:t>
            </w:r>
          </w:p>
        </w:tc>
        <w:tc>
          <w:tcPr>
            <w:tcW w:w="4253" w:type="dxa"/>
          </w:tcPr>
          <w:p w14:paraId="79BAB64C" w14:textId="0FF542F9" w:rsidR="00337013" w:rsidRDefault="00337013" w:rsidP="00337013">
            <w:pPr>
              <w:spacing w:before="86" w:after="86" w:line="240" w:lineRule="auto"/>
            </w:pPr>
            <w:r w:rsidRPr="00DE3F81">
              <w:rPr>
                <w:color w:val="232425"/>
                <w:sz w:val="20"/>
                <w:szCs w:val="20"/>
                <w:lang w:val="en-GB"/>
              </w:rPr>
              <w:t>The DWH shall use stored MConnect responses in eSocial as the primary source for person and organisation reference data, rather than querying MConnect directly. The Contractor extracts these stored responses as part of the eSocial Bronze extraction and parses the responses in the Silver layer to populate the person and organisation dimensions.</w:t>
            </w:r>
          </w:p>
        </w:tc>
        <w:tc>
          <w:tcPr>
            <w:tcW w:w="3408" w:type="dxa"/>
            <w:vAlign w:val="center"/>
          </w:tcPr>
          <w:p w14:paraId="5630AD66" w14:textId="77777777" w:rsidR="00337013" w:rsidRDefault="00337013" w:rsidP="00337013">
            <w:pPr>
              <w:spacing w:before="86" w:after="86" w:line="240" w:lineRule="auto"/>
              <w:rPr>
                <w:rFonts w:eastAsia="MS Mincho"/>
              </w:rPr>
            </w:pPr>
          </w:p>
        </w:tc>
      </w:tr>
      <w:tr w:rsidR="00310DCA" w14:paraId="6F999AF4" w14:textId="77777777" w:rsidTr="00C21106">
        <w:tc>
          <w:tcPr>
            <w:tcW w:w="1699" w:type="dxa"/>
          </w:tcPr>
          <w:p w14:paraId="19D07119" w14:textId="3445DB90" w:rsidR="00310DCA" w:rsidRDefault="00310DCA" w:rsidP="00BE01DC">
            <w:pPr>
              <w:spacing w:before="86" w:after="86" w:line="240" w:lineRule="auto"/>
            </w:pPr>
            <w:r w:rsidRPr="00DE3F81">
              <w:rPr>
                <w:bCs/>
                <w:color w:val="232425"/>
                <w:lang w:val="en-GB"/>
              </w:rPr>
              <w:t>NFR-5.2: Data exchange</w:t>
            </w:r>
          </w:p>
        </w:tc>
        <w:tc>
          <w:tcPr>
            <w:tcW w:w="4253" w:type="dxa"/>
          </w:tcPr>
          <w:p w14:paraId="27745EAB" w14:textId="143FE08D" w:rsidR="00310DCA" w:rsidRDefault="00310DCA" w:rsidP="00310DCA">
            <w:pPr>
              <w:spacing w:before="86" w:after="86" w:line="240" w:lineRule="auto"/>
            </w:pPr>
            <w:r w:rsidRPr="00DE3F81">
              <w:rPr>
                <w:color w:val="232425"/>
                <w:sz w:val="20"/>
                <w:szCs w:val="20"/>
                <w:lang w:val="en-GB"/>
              </w:rPr>
              <w:t>The system shall facilitate the secure exchange of data with national registries and partner institutions, adhering to established standard formats and security protocols.</w:t>
            </w:r>
          </w:p>
        </w:tc>
        <w:tc>
          <w:tcPr>
            <w:tcW w:w="3408" w:type="dxa"/>
            <w:vAlign w:val="center"/>
          </w:tcPr>
          <w:p w14:paraId="61829076" w14:textId="77777777" w:rsidR="00310DCA" w:rsidRDefault="00310DCA" w:rsidP="00310DCA">
            <w:pPr>
              <w:spacing w:before="86" w:after="86" w:line="240" w:lineRule="auto"/>
              <w:rPr>
                <w:rFonts w:eastAsia="MS Mincho"/>
              </w:rPr>
            </w:pPr>
          </w:p>
        </w:tc>
      </w:tr>
      <w:tr w:rsidR="00FA6B67" w14:paraId="336B3A27" w14:textId="77777777" w:rsidTr="004B7C2C">
        <w:tc>
          <w:tcPr>
            <w:tcW w:w="1699" w:type="dxa"/>
          </w:tcPr>
          <w:p w14:paraId="36371308" w14:textId="7EEE56D7" w:rsidR="00FA6B67" w:rsidRDefault="00FA6B67" w:rsidP="00BE01DC">
            <w:pPr>
              <w:spacing w:before="86" w:after="86" w:line="240" w:lineRule="auto"/>
            </w:pPr>
            <w:r w:rsidRPr="00DE3F81">
              <w:rPr>
                <w:bCs/>
                <w:color w:val="232425"/>
                <w:lang w:val="en-GB"/>
              </w:rPr>
              <w:t>NFR-5.3: Outbound interoperability</w:t>
            </w:r>
          </w:p>
        </w:tc>
        <w:tc>
          <w:tcPr>
            <w:tcW w:w="4253" w:type="dxa"/>
          </w:tcPr>
          <w:p w14:paraId="383BE4EA" w14:textId="7AFC74DB" w:rsidR="00FA6B67" w:rsidRDefault="00FA6B67" w:rsidP="00FA6B67">
            <w:pPr>
              <w:spacing w:before="86" w:after="86" w:line="240" w:lineRule="auto"/>
            </w:pPr>
            <w:r w:rsidRPr="00DE3F81">
              <w:rPr>
                <w:color w:val="232425"/>
                <w:sz w:val="20"/>
                <w:szCs w:val="20"/>
                <w:lang w:val="en-GB"/>
              </w:rPr>
              <w:t>The OWA.DataWarehouse module shall expose Gold layer data to OWA modules and other government consumers through REST API, Kafka events, and batch exports. Direct JDBC and ODBC access to Gold tables shall remain available for the BI platform and approved BI tools only.</w:t>
            </w:r>
          </w:p>
        </w:tc>
        <w:tc>
          <w:tcPr>
            <w:tcW w:w="3408" w:type="dxa"/>
            <w:vAlign w:val="center"/>
          </w:tcPr>
          <w:p w14:paraId="2BA226A1" w14:textId="77777777" w:rsidR="00FA6B67" w:rsidRDefault="00FA6B67" w:rsidP="00FA6B67">
            <w:pPr>
              <w:spacing w:before="86" w:after="86" w:line="240" w:lineRule="auto"/>
              <w:rPr>
                <w:rFonts w:eastAsia="MS Mincho"/>
              </w:rPr>
            </w:pPr>
          </w:p>
        </w:tc>
      </w:tr>
    </w:tbl>
    <w:p w14:paraId="0DE4B5B7" w14:textId="77777777" w:rsidR="003906A8" w:rsidRDefault="003906A8">
      <w:pPr>
        <w:spacing w:after="80"/>
        <w:rPr>
          <w:b/>
        </w:rPr>
      </w:pPr>
    </w:p>
    <w:p w14:paraId="58680B8D" w14:textId="29E4DDD5" w:rsidR="08A8D2B9" w:rsidRDefault="08A8D2B9" w:rsidP="08A8D2B9">
      <w:pPr>
        <w:spacing w:after="80"/>
        <w:rPr>
          <w:b/>
          <w:bCs/>
        </w:rPr>
      </w:pPr>
    </w:p>
    <w:p w14:paraId="4BDBFE16" w14:textId="77777777" w:rsidR="009A7E27" w:rsidRPr="00DE3F81" w:rsidRDefault="009A7E27" w:rsidP="00DE3F81">
      <w:pPr>
        <w:pStyle w:val="Heading3"/>
        <w:rPr>
          <w:color w:val="243F60" w:themeColor="accent1" w:themeShade="7F"/>
          <w:sz w:val="24"/>
          <w:szCs w:val="28"/>
          <w:lang w:val="en-GB"/>
        </w:rPr>
      </w:pPr>
      <w:bookmarkStart w:id="15" w:name="_Toc236911036"/>
      <w:r w:rsidRPr="00DE3F81">
        <w:rPr>
          <w:color w:val="243F60" w:themeColor="accent1" w:themeShade="7F"/>
          <w:sz w:val="24"/>
          <w:szCs w:val="28"/>
          <w:lang w:val="en-GB"/>
        </w:rPr>
        <w:t>6. Scalability and performance</w:t>
      </w:r>
      <w:bookmarkEnd w:id="15"/>
    </w:p>
    <w:p w14:paraId="78B6A9E4" w14:textId="3EBFEF81" w:rsidR="003906A8" w:rsidRPr="009A7E27" w:rsidRDefault="009A7E27" w:rsidP="009A7E27">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color w:val="232425"/>
          <w:lang w:val="en-GB"/>
        </w:rPr>
      </w:pPr>
      <w:r w:rsidRPr="00DE3F81">
        <w:rPr>
          <w:b/>
          <w:color w:val="232425"/>
          <w:lang w:val="en-GB"/>
        </w:rPr>
        <w:t>List of non-functional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220DDBF0" w14:textId="77777777">
        <w:tc>
          <w:tcPr>
            <w:tcW w:w="1699" w:type="dxa"/>
            <w:shd w:val="clear" w:color="auto" w:fill="E7E6E6"/>
            <w:vAlign w:val="center"/>
          </w:tcPr>
          <w:p w14:paraId="2EF1E30D" w14:textId="77777777" w:rsidR="003906A8" w:rsidRDefault="008F5A93" w:rsidP="00BE01DC">
            <w:pPr>
              <w:spacing w:before="86" w:after="86" w:line="240" w:lineRule="auto"/>
            </w:pPr>
            <w:r>
              <w:rPr>
                <w:rFonts w:eastAsia="MS Mincho"/>
                <w:b/>
                <w:sz w:val="20"/>
              </w:rPr>
              <w:t>Requirement ID</w:t>
            </w:r>
          </w:p>
        </w:tc>
        <w:tc>
          <w:tcPr>
            <w:tcW w:w="4253" w:type="dxa"/>
            <w:shd w:val="clear" w:color="auto" w:fill="E7E6E6"/>
            <w:vAlign w:val="center"/>
          </w:tcPr>
          <w:p w14:paraId="47ABA6F8" w14:textId="77777777" w:rsidR="003906A8" w:rsidRDefault="008F5A93">
            <w:pPr>
              <w:spacing w:before="86" w:after="86" w:line="240" w:lineRule="auto"/>
              <w:jc w:val="center"/>
            </w:pPr>
            <w:r>
              <w:rPr>
                <w:rFonts w:eastAsia="MS Mincho"/>
                <w:b/>
                <w:sz w:val="20"/>
              </w:rPr>
              <w:t>Explanation</w:t>
            </w:r>
          </w:p>
        </w:tc>
        <w:tc>
          <w:tcPr>
            <w:tcW w:w="3408" w:type="dxa"/>
            <w:shd w:val="clear" w:color="auto" w:fill="E7E6E6"/>
            <w:vAlign w:val="center"/>
          </w:tcPr>
          <w:p w14:paraId="59DF018D"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D27DB1" w14:paraId="4189758D" w14:textId="77777777">
        <w:tc>
          <w:tcPr>
            <w:tcW w:w="1699" w:type="dxa"/>
            <w:vAlign w:val="center"/>
          </w:tcPr>
          <w:p w14:paraId="0902C199" w14:textId="72F27C51" w:rsidR="00D27DB1" w:rsidRDefault="00D27DB1" w:rsidP="00BE01DC">
            <w:pPr>
              <w:spacing w:before="86" w:after="86" w:line="240" w:lineRule="auto"/>
            </w:pPr>
            <w:r w:rsidRPr="00DE3F81">
              <w:rPr>
                <w:color w:val="232425"/>
                <w:lang w:val="en-GB"/>
              </w:rPr>
              <w:t xml:space="preserve">NFR-6.1: Horizontal </w:t>
            </w:r>
            <w:r w:rsidRPr="00DE3F81">
              <w:rPr>
                <w:color w:val="232425"/>
                <w:lang w:val="en-GB"/>
              </w:rPr>
              <w:lastRenderedPageBreak/>
              <w:t>scalability</w:t>
            </w:r>
          </w:p>
        </w:tc>
        <w:tc>
          <w:tcPr>
            <w:tcW w:w="4253" w:type="dxa"/>
            <w:vAlign w:val="center"/>
          </w:tcPr>
          <w:p w14:paraId="1260B6FA" w14:textId="769C19ED" w:rsidR="00D27DB1" w:rsidRDefault="00D27DB1" w:rsidP="00D27DB1">
            <w:pPr>
              <w:spacing w:before="86" w:after="86" w:line="240" w:lineRule="auto"/>
            </w:pPr>
            <w:r w:rsidRPr="00DE3F81">
              <w:rPr>
                <w:color w:val="232425"/>
                <w:sz w:val="20"/>
                <w:szCs w:val="20"/>
                <w:lang w:val="en-GB"/>
              </w:rPr>
              <w:lastRenderedPageBreak/>
              <w:t xml:space="preserve">The architecture shall allow independent scaling of the Bronze, Silver+Gold, App Services, and </w:t>
            </w:r>
            <w:r w:rsidRPr="00DE3F81">
              <w:rPr>
                <w:color w:val="232425"/>
                <w:sz w:val="20"/>
                <w:szCs w:val="20"/>
                <w:lang w:val="en-GB"/>
              </w:rPr>
              <w:lastRenderedPageBreak/>
              <w:t>OWA API VMs as workload increases.</w:t>
            </w:r>
          </w:p>
        </w:tc>
        <w:tc>
          <w:tcPr>
            <w:tcW w:w="3408" w:type="dxa"/>
            <w:vAlign w:val="center"/>
          </w:tcPr>
          <w:p w14:paraId="66204FF1" w14:textId="77777777" w:rsidR="00D27DB1" w:rsidRDefault="00D27DB1" w:rsidP="00D27DB1">
            <w:pPr>
              <w:spacing w:before="86" w:after="86" w:line="240" w:lineRule="auto"/>
              <w:rPr>
                <w:rFonts w:eastAsia="MS Mincho"/>
              </w:rPr>
            </w:pPr>
          </w:p>
        </w:tc>
      </w:tr>
      <w:tr w:rsidR="0083463F" w14:paraId="707FD416" w14:textId="77777777">
        <w:tc>
          <w:tcPr>
            <w:tcW w:w="1699" w:type="dxa"/>
            <w:vAlign w:val="center"/>
          </w:tcPr>
          <w:p w14:paraId="3604ADB4" w14:textId="73A40047" w:rsidR="0083463F" w:rsidRPr="00DC1A12" w:rsidRDefault="0083463F" w:rsidP="00BE01DC">
            <w:pPr>
              <w:spacing w:before="86" w:after="86" w:line="240" w:lineRule="auto"/>
              <w:rPr>
                <w:color w:val="232425"/>
                <w:lang w:val="en-GB"/>
              </w:rPr>
            </w:pPr>
            <w:r w:rsidRPr="00DE3F81">
              <w:rPr>
                <w:color w:val="232425"/>
                <w:lang w:val="en-GB"/>
              </w:rPr>
              <w:t>NFR-6.2: Schema evolution</w:t>
            </w:r>
          </w:p>
        </w:tc>
        <w:tc>
          <w:tcPr>
            <w:tcW w:w="4253" w:type="dxa"/>
            <w:vAlign w:val="center"/>
          </w:tcPr>
          <w:p w14:paraId="6C8897D9" w14:textId="75ABAC29" w:rsidR="0083463F" w:rsidRPr="00D27DB1" w:rsidRDefault="0083463F" w:rsidP="0083463F">
            <w:pPr>
              <w:spacing w:before="86" w:after="86" w:line="240" w:lineRule="auto"/>
              <w:rPr>
                <w:color w:val="232425"/>
                <w:sz w:val="20"/>
                <w:szCs w:val="20"/>
                <w:lang w:val="en-GB"/>
              </w:rPr>
            </w:pPr>
            <w:r w:rsidRPr="00DE3F81">
              <w:rPr>
                <w:color w:val="232425"/>
                <w:sz w:val="20"/>
                <w:szCs w:val="20"/>
                <w:lang w:val="en-GB"/>
              </w:rPr>
              <w:t>Adding a new source system shall not require architectural change. The onboarding pattern (PostgreSQL federation or ELT connector, transformation model creation, dimensional integration) shall be documented and reusable.</w:t>
            </w:r>
          </w:p>
        </w:tc>
        <w:tc>
          <w:tcPr>
            <w:tcW w:w="3408" w:type="dxa"/>
            <w:vAlign w:val="center"/>
          </w:tcPr>
          <w:p w14:paraId="4F364848" w14:textId="77777777" w:rsidR="0083463F" w:rsidRDefault="0083463F" w:rsidP="0083463F">
            <w:pPr>
              <w:spacing w:before="86" w:after="86" w:line="240" w:lineRule="auto"/>
              <w:rPr>
                <w:rFonts w:eastAsia="MS Mincho"/>
              </w:rPr>
            </w:pPr>
          </w:p>
        </w:tc>
      </w:tr>
      <w:tr w:rsidR="00614C1B" w14:paraId="33286FE5" w14:textId="77777777">
        <w:tc>
          <w:tcPr>
            <w:tcW w:w="1699" w:type="dxa"/>
            <w:vAlign w:val="center"/>
          </w:tcPr>
          <w:p w14:paraId="2882E0A3" w14:textId="0A5DB505" w:rsidR="00614C1B" w:rsidRPr="00DC1A12" w:rsidRDefault="00614C1B" w:rsidP="00BE01DC">
            <w:pPr>
              <w:spacing w:before="86" w:after="86" w:line="240" w:lineRule="auto"/>
              <w:rPr>
                <w:color w:val="232425"/>
                <w:lang w:val="en-GB"/>
              </w:rPr>
            </w:pPr>
            <w:r w:rsidRPr="00DE3F81">
              <w:rPr>
                <w:color w:val="232425"/>
                <w:lang w:val="en-GB"/>
              </w:rPr>
              <w:t>NFR-6.3: Preventive maintenance</w:t>
            </w:r>
          </w:p>
        </w:tc>
        <w:tc>
          <w:tcPr>
            <w:tcW w:w="4253" w:type="dxa"/>
            <w:vAlign w:val="center"/>
          </w:tcPr>
          <w:p w14:paraId="3FF082B7" w14:textId="47F64334" w:rsidR="00614C1B" w:rsidRPr="00D27DB1" w:rsidRDefault="00614C1B" w:rsidP="00614C1B">
            <w:pPr>
              <w:spacing w:before="86" w:after="86" w:line="240" w:lineRule="auto"/>
              <w:rPr>
                <w:color w:val="232425"/>
                <w:sz w:val="20"/>
                <w:szCs w:val="20"/>
                <w:lang w:val="en-GB"/>
              </w:rPr>
            </w:pPr>
            <w:r w:rsidRPr="00DE3F81">
              <w:rPr>
                <w:color w:val="232425"/>
                <w:sz w:val="20"/>
                <w:szCs w:val="20"/>
                <w:lang w:val="en-GB"/>
              </w:rPr>
              <w:t>Monthly preventive maintenance procedures shall be scheduled with automated security updates and proactive monitoring.</w:t>
            </w:r>
          </w:p>
        </w:tc>
        <w:tc>
          <w:tcPr>
            <w:tcW w:w="3408" w:type="dxa"/>
            <w:vAlign w:val="center"/>
          </w:tcPr>
          <w:p w14:paraId="08D3747C" w14:textId="77777777" w:rsidR="00614C1B" w:rsidRDefault="00614C1B" w:rsidP="00614C1B">
            <w:pPr>
              <w:spacing w:before="86" w:after="86" w:line="240" w:lineRule="auto"/>
              <w:rPr>
                <w:rFonts w:eastAsia="MS Mincho"/>
              </w:rPr>
            </w:pPr>
          </w:p>
        </w:tc>
      </w:tr>
      <w:tr w:rsidR="00132AD4" w14:paraId="4C4EED5D" w14:textId="77777777">
        <w:tc>
          <w:tcPr>
            <w:tcW w:w="1699" w:type="dxa"/>
            <w:vAlign w:val="center"/>
          </w:tcPr>
          <w:p w14:paraId="14F7B2FC" w14:textId="4AAD1F5B" w:rsidR="00132AD4" w:rsidRPr="00DC1A12" w:rsidRDefault="00132AD4" w:rsidP="00BE01DC">
            <w:pPr>
              <w:spacing w:before="86" w:after="86" w:line="240" w:lineRule="auto"/>
              <w:rPr>
                <w:color w:val="232425"/>
                <w:lang w:val="en-GB"/>
              </w:rPr>
            </w:pPr>
            <w:r w:rsidRPr="00DE3F81">
              <w:rPr>
                <w:color w:val="232425"/>
                <w:lang w:val="en-GB"/>
              </w:rPr>
              <w:t>NFR-6.4: Technical support</w:t>
            </w:r>
          </w:p>
        </w:tc>
        <w:tc>
          <w:tcPr>
            <w:tcW w:w="4253" w:type="dxa"/>
            <w:vAlign w:val="center"/>
          </w:tcPr>
          <w:p w14:paraId="7D9A28D0" w14:textId="6E98B422" w:rsidR="00132AD4" w:rsidRPr="00D27DB1" w:rsidRDefault="00132AD4" w:rsidP="00132AD4">
            <w:pPr>
              <w:spacing w:before="86" w:after="86" w:line="240" w:lineRule="auto"/>
              <w:rPr>
                <w:color w:val="232425"/>
                <w:sz w:val="20"/>
                <w:szCs w:val="20"/>
                <w:lang w:val="en-GB"/>
              </w:rPr>
            </w:pPr>
            <w:r w:rsidRPr="00DE3F81">
              <w:rPr>
                <w:color w:val="232425"/>
                <w:sz w:val="20"/>
                <w:szCs w:val="20"/>
                <w:lang w:val="en-GB"/>
              </w:rPr>
              <w:t>The system shall provide technical support and strict documentation of changes.</w:t>
            </w:r>
          </w:p>
        </w:tc>
        <w:tc>
          <w:tcPr>
            <w:tcW w:w="3408" w:type="dxa"/>
            <w:vAlign w:val="center"/>
          </w:tcPr>
          <w:p w14:paraId="1E1CA767" w14:textId="77777777" w:rsidR="00132AD4" w:rsidRDefault="00132AD4" w:rsidP="00132AD4">
            <w:pPr>
              <w:spacing w:before="86" w:after="86" w:line="240" w:lineRule="auto"/>
              <w:rPr>
                <w:rFonts w:eastAsia="MS Mincho"/>
              </w:rPr>
            </w:pPr>
          </w:p>
        </w:tc>
      </w:tr>
      <w:tr w:rsidR="003C19DB" w14:paraId="18DBA0D6" w14:textId="77777777">
        <w:tc>
          <w:tcPr>
            <w:tcW w:w="1699" w:type="dxa"/>
            <w:vAlign w:val="center"/>
          </w:tcPr>
          <w:p w14:paraId="7F69107B" w14:textId="3956267A" w:rsidR="003C19DB" w:rsidRDefault="003C19DB" w:rsidP="00BE01DC">
            <w:pPr>
              <w:spacing w:before="86" w:after="86" w:line="240" w:lineRule="auto"/>
            </w:pPr>
            <w:r w:rsidRPr="00DE3F81">
              <w:rPr>
                <w:color w:val="232425"/>
                <w:lang w:val="en-GB"/>
              </w:rPr>
              <w:t>NFR-6.5: Time-to-onboard for new sources</w:t>
            </w:r>
          </w:p>
        </w:tc>
        <w:tc>
          <w:tcPr>
            <w:tcW w:w="4253" w:type="dxa"/>
            <w:vAlign w:val="center"/>
          </w:tcPr>
          <w:p w14:paraId="3169445B" w14:textId="0D1D46B3" w:rsidR="003C19DB" w:rsidRDefault="003C19DB" w:rsidP="003C19DB">
            <w:pPr>
              <w:spacing w:before="86" w:after="86" w:line="240" w:lineRule="auto"/>
            </w:pPr>
            <w:r w:rsidRPr="00DE3F81">
              <w:rPr>
                <w:color w:val="232425"/>
                <w:sz w:val="20"/>
                <w:szCs w:val="20"/>
                <w:lang w:val="en-GB"/>
              </w:rPr>
              <w:t>Adding a new source system that uses one of the three established onboarding tiers (PG federation, ELT connector, snapshot diff over VPN) shall be possible by the DCSI team in less than 5 working days, including connectivity setup, Bronze schema creation, scheduling configuration, and initial data load verification. The Contractor shall document this onboarding workflow as part of the operations guide.</w:t>
            </w:r>
          </w:p>
        </w:tc>
        <w:tc>
          <w:tcPr>
            <w:tcW w:w="3408" w:type="dxa"/>
            <w:vAlign w:val="center"/>
          </w:tcPr>
          <w:p w14:paraId="2DBF0D7D" w14:textId="77777777" w:rsidR="003C19DB" w:rsidRDefault="003C19DB" w:rsidP="003C19DB">
            <w:pPr>
              <w:spacing w:before="86" w:after="86" w:line="240" w:lineRule="auto"/>
              <w:rPr>
                <w:rFonts w:eastAsia="MS Mincho"/>
              </w:rPr>
            </w:pPr>
          </w:p>
        </w:tc>
      </w:tr>
    </w:tbl>
    <w:p w14:paraId="7C24C176" w14:textId="77777777" w:rsidR="00474EBC" w:rsidRPr="00DE3F81" w:rsidRDefault="00474EBC" w:rsidP="00474EBC">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color w:val="232425"/>
          <w:lang w:val="en-GB"/>
        </w:rPr>
      </w:pPr>
    </w:p>
    <w:p w14:paraId="291EB6A4" w14:textId="77777777" w:rsidR="00474EBC" w:rsidRPr="00DE3F81" w:rsidRDefault="00474EBC" w:rsidP="00DE3F81">
      <w:pPr>
        <w:pStyle w:val="Heading3"/>
        <w:rPr>
          <w:color w:val="243F60" w:themeColor="accent1" w:themeShade="7F"/>
          <w:sz w:val="24"/>
          <w:szCs w:val="28"/>
          <w:lang w:val="en-GB"/>
        </w:rPr>
      </w:pPr>
      <w:bookmarkStart w:id="16" w:name="_heading=h.un60gtfr1jqc" w:colFirst="0" w:colLast="0"/>
      <w:bookmarkStart w:id="17" w:name="_Toc236911037"/>
      <w:bookmarkEnd w:id="16"/>
      <w:r w:rsidRPr="00DE3F81">
        <w:rPr>
          <w:color w:val="243F60" w:themeColor="accent1" w:themeShade="7F"/>
          <w:sz w:val="24"/>
          <w:szCs w:val="28"/>
          <w:lang w:val="en-GB"/>
        </w:rPr>
        <w:t>7. Compliance and licensing</w:t>
      </w:r>
      <w:bookmarkEnd w:id="17"/>
    </w:p>
    <w:p w14:paraId="167BF775" w14:textId="2152465B" w:rsidR="003906A8" w:rsidRDefault="00474EBC" w:rsidP="00474EBC">
      <w:r w:rsidRPr="00DE3F81">
        <w:rPr>
          <w:b/>
          <w:color w:val="232425"/>
          <w:lang w:val="en-GB"/>
        </w:rPr>
        <w:t>List of non-functional requirements:</w:t>
      </w:r>
    </w:p>
    <w:tbl>
      <w:tblPr>
        <w:tblStyle w:val="TableGrid"/>
        <w:tblW w:w="9360" w:type="dxa"/>
        <w:tblInd w:w="105" w:type="dxa"/>
        <w:tblLayout w:type="fixed"/>
        <w:tblLook w:val="04A0" w:firstRow="1" w:lastRow="0" w:firstColumn="1" w:lastColumn="0" w:noHBand="0" w:noVBand="1"/>
      </w:tblPr>
      <w:tblGrid>
        <w:gridCol w:w="1699"/>
        <w:gridCol w:w="4253"/>
        <w:gridCol w:w="3408"/>
      </w:tblGrid>
      <w:tr w:rsidR="003906A8" w14:paraId="3915E823" w14:textId="77777777">
        <w:trPr>
          <w:trHeight w:val="912"/>
        </w:trPr>
        <w:tc>
          <w:tcPr>
            <w:tcW w:w="1699" w:type="dxa"/>
            <w:shd w:val="clear" w:color="auto" w:fill="E7E6E6"/>
            <w:vAlign w:val="center"/>
          </w:tcPr>
          <w:p w14:paraId="38A2B39A" w14:textId="16D775FC" w:rsidR="003906A8" w:rsidRDefault="0096157C" w:rsidP="00BE01DC">
            <w:pPr>
              <w:spacing w:before="86" w:after="86" w:line="240" w:lineRule="auto"/>
            </w:pPr>
            <w:r w:rsidRPr="00DE3F81">
              <w:rPr>
                <w:b/>
                <w:color w:val="232425"/>
                <w:lang w:val="en-GB"/>
              </w:rPr>
              <w:t>Requirement</w:t>
            </w:r>
            <w:r>
              <w:rPr>
                <w:rFonts w:eastAsia="MS Mincho"/>
                <w:b/>
                <w:sz w:val="20"/>
              </w:rPr>
              <w:t xml:space="preserve"> </w:t>
            </w:r>
            <w:r w:rsidR="008F5A93">
              <w:rPr>
                <w:rFonts w:eastAsia="MS Mincho"/>
                <w:b/>
                <w:sz w:val="20"/>
              </w:rPr>
              <w:t>ID</w:t>
            </w:r>
          </w:p>
        </w:tc>
        <w:tc>
          <w:tcPr>
            <w:tcW w:w="4253" w:type="dxa"/>
            <w:shd w:val="clear" w:color="auto" w:fill="E7E6E6"/>
            <w:vAlign w:val="center"/>
          </w:tcPr>
          <w:p w14:paraId="05C8441A" w14:textId="77777777" w:rsidR="003906A8" w:rsidRDefault="008F5A93">
            <w:pPr>
              <w:spacing w:before="86" w:after="86" w:line="240" w:lineRule="auto"/>
              <w:jc w:val="center"/>
            </w:pPr>
            <w:r>
              <w:rPr>
                <w:rFonts w:eastAsia="MS Mincho"/>
                <w:b/>
                <w:sz w:val="20"/>
              </w:rPr>
              <w:t>Explanation</w:t>
            </w:r>
          </w:p>
        </w:tc>
        <w:tc>
          <w:tcPr>
            <w:tcW w:w="3408" w:type="dxa"/>
            <w:shd w:val="clear" w:color="auto" w:fill="E7E6E6"/>
            <w:vAlign w:val="center"/>
          </w:tcPr>
          <w:p w14:paraId="167ED546"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081B9E" w14:paraId="7D7D0B3E" w14:textId="77777777" w:rsidTr="001C54D0">
        <w:tc>
          <w:tcPr>
            <w:tcW w:w="1699" w:type="dxa"/>
          </w:tcPr>
          <w:p w14:paraId="4C84AB84" w14:textId="31DDE139" w:rsidR="00081B9E" w:rsidRDefault="00081B9E" w:rsidP="00BE01DC">
            <w:pPr>
              <w:spacing w:before="86" w:after="86" w:line="240" w:lineRule="auto"/>
            </w:pPr>
            <w:r w:rsidRPr="00DE3F81">
              <w:rPr>
                <w:bCs/>
                <w:color w:val="232425"/>
                <w:lang w:val="en-GB"/>
              </w:rPr>
              <w:t>NFR-7.1: Open-source technologies</w:t>
            </w:r>
          </w:p>
        </w:tc>
        <w:tc>
          <w:tcPr>
            <w:tcW w:w="4253" w:type="dxa"/>
          </w:tcPr>
          <w:p w14:paraId="55DA7B32" w14:textId="7359D1CE" w:rsidR="00081B9E" w:rsidRDefault="00081B9E" w:rsidP="00081B9E">
            <w:pPr>
              <w:spacing w:before="86" w:after="86" w:line="240" w:lineRule="auto"/>
            </w:pPr>
            <w:r w:rsidRPr="00DE3F81">
              <w:rPr>
                <w:color w:val="232425"/>
                <w:sz w:val="20"/>
                <w:szCs w:val="20"/>
                <w:lang w:val="en-GB"/>
              </w:rPr>
              <w:t>The DWH shall use only open-source components or freely licensed components with transparent licenses (for example PostgreSQL License, Apache 2.0, AGPL, MIT, BSD), without additional licensing costs after delivery. License treatment of any source-available components shall follow the binding constraints in Section I.5 Technological Requirements.</w:t>
            </w:r>
          </w:p>
        </w:tc>
        <w:tc>
          <w:tcPr>
            <w:tcW w:w="3408" w:type="dxa"/>
            <w:vAlign w:val="center"/>
          </w:tcPr>
          <w:p w14:paraId="680A4E5D" w14:textId="77777777" w:rsidR="00081B9E" w:rsidRDefault="00081B9E" w:rsidP="00081B9E">
            <w:pPr>
              <w:spacing w:before="86" w:after="86" w:line="240" w:lineRule="auto"/>
              <w:rPr>
                <w:rFonts w:eastAsia="MS Mincho"/>
              </w:rPr>
            </w:pPr>
          </w:p>
        </w:tc>
      </w:tr>
      <w:tr w:rsidR="00517F9E" w14:paraId="4F735F72" w14:textId="77777777" w:rsidTr="00DD7452">
        <w:tc>
          <w:tcPr>
            <w:tcW w:w="1699" w:type="dxa"/>
          </w:tcPr>
          <w:p w14:paraId="46E80B98" w14:textId="3E77F3D4" w:rsidR="00517F9E" w:rsidRDefault="00517F9E" w:rsidP="00BE01DC">
            <w:pPr>
              <w:spacing w:before="86" w:after="86" w:line="240" w:lineRule="auto"/>
              <w:rPr>
                <w:rFonts w:eastAsia="MS Mincho"/>
                <w:b/>
                <w:sz w:val="20"/>
              </w:rPr>
            </w:pPr>
            <w:r w:rsidRPr="00DE3F81">
              <w:rPr>
                <w:bCs/>
                <w:color w:val="232425"/>
                <w:lang w:val="en-GB"/>
              </w:rPr>
              <w:t>NFR-7.2: Centralised configuration</w:t>
            </w:r>
          </w:p>
        </w:tc>
        <w:tc>
          <w:tcPr>
            <w:tcW w:w="4253" w:type="dxa"/>
          </w:tcPr>
          <w:p w14:paraId="4F119C16" w14:textId="1AD1E15D" w:rsidR="00517F9E" w:rsidRDefault="00517F9E" w:rsidP="00517F9E">
            <w:pPr>
              <w:spacing w:before="86" w:after="86" w:line="240" w:lineRule="auto"/>
              <w:rPr>
                <w:rFonts w:eastAsia="MS Mincho"/>
                <w:sz w:val="20"/>
              </w:rPr>
            </w:pPr>
            <w:r w:rsidRPr="00DE3F81">
              <w:rPr>
                <w:color w:val="232425"/>
                <w:sz w:val="20"/>
                <w:szCs w:val="20"/>
                <w:lang w:val="en-GB"/>
              </w:rPr>
              <w:t>All configurations and parameters shall be documented and managed through configuration files (ENV, JSON, or YAML). All configurations shall be version-controlled in Git.</w:t>
            </w:r>
          </w:p>
        </w:tc>
        <w:tc>
          <w:tcPr>
            <w:tcW w:w="3408" w:type="dxa"/>
            <w:vAlign w:val="center"/>
          </w:tcPr>
          <w:p w14:paraId="719DD7F9" w14:textId="77777777" w:rsidR="00517F9E" w:rsidRDefault="00517F9E" w:rsidP="00517F9E">
            <w:pPr>
              <w:spacing w:before="86" w:after="86" w:line="240" w:lineRule="auto"/>
              <w:rPr>
                <w:rFonts w:eastAsia="MS Mincho"/>
              </w:rPr>
            </w:pPr>
          </w:p>
        </w:tc>
      </w:tr>
      <w:tr w:rsidR="00712EFC" w14:paraId="3E2F6E8D" w14:textId="77777777" w:rsidTr="002A75CA">
        <w:tc>
          <w:tcPr>
            <w:tcW w:w="1699" w:type="dxa"/>
          </w:tcPr>
          <w:p w14:paraId="058C6D99" w14:textId="3DA50C0E" w:rsidR="00712EFC" w:rsidRDefault="00712EFC" w:rsidP="00BE01DC">
            <w:pPr>
              <w:spacing w:before="86" w:after="86" w:line="240" w:lineRule="auto"/>
            </w:pPr>
            <w:r w:rsidRPr="00DE3F81">
              <w:rPr>
                <w:bCs/>
                <w:color w:val="232425"/>
                <w:lang w:val="en-GB"/>
              </w:rPr>
              <w:t>NFR-7.3: Testing and validation</w:t>
            </w:r>
          </w:p>
        </w:tc>
        <w:tc>
          <w:tcPr>
            <w:tcW w:w="4253" w:type="dxa"/>
          </w:tcPr>
          <w:p w14:paraId="22DAC123" w14:textId="5D8C39CB" w:rsidR="00712EFC" w:rsidRDefault="00712EFC" w:rsidP="00712EFC">
            <w:pPr>
              <w:spacing w:before="86" w:after="86" w:line="240" w:lineRule="auto"/>
            </w:pPr>
            <w:r w:rsidRPr="00DE3F81">
              <w:rPr>
                <w:color w:val="232425"/>
                <w:sz w:val="20"/>
                <w:szCs w:val="20"/>
                <w:lang w:val="en-GB"/>
              </w:rPr>
              <w:t>The system shall undergo rigorous testing in the test environment prior to production release, with clear separation of resources and configurations for each environment.</w:t>
            </w:r>
          </w:p>
        </w:tc>
        <w:tc>
          <w:tcPr>
            <w:tcW w:w="3408" w:type="dxa"/>
            <w:vAlign w:val="center"/>
          </w:tcPr>
          <w:p w14:paraId="19219836" w14:textId="77777777" w:rsidR="00712EFC" w:rsidRDefault="00712EFC" w:rsidP="00712EFC">
            <w:pPr>
              <w:spacing w:before="86" w:after="86" w:line="240" w:lineRule="auto"/>
              <w:rPr>
                <w:rFonts w:eastAsia="MS Mincho"/>
              </w:rPr>
            </w:pPr>
          </w:p>
        </w:tc>
      </w:tr>
    </w:tbl>
    <w:p w14:paraId="1E8A956E" w14:textId="2A4C9AE6" w:rsidR="08A8D2B9" w:rsidRDefault="08A8D2B9" w:rsidP="08A8D2B9">
      <w:pPr>
        <w:spacing w:after="80"/>
        <w:rPr>
          <w:b/>
          <w:bCs/>
        </w:rPr>
      </w:pPr>
    </w:p>
    <w:p w14:paraId="7A7CDEC6" w14:textId="77777777" w:rsidR="004C564B" w:rsidRPr="00DE3F81" w:rsidRDefault="004C564B" w:rsidP="00DE3F81">
      <w:pPr>
        <w:pStyle w:val="Heading3"/>
        <w:rPr>
          <w:color w:val="243F60" w:themeColor="accent1" w:themeShade="7F"/>
          <w:szCs w:val="24"/>
          <w:lang w:val="en-GB"/>
        </w:rPr>
      </w:pPr>
      <w:bookmarkStart w:id="18" w:name="_Toc236911038"/>
      <w:r w:rsidRPr="00DE3F81">
        <w:rPr>
          <w:color w:val="243F60" w:themeColor="accent1" w:themeShade="7F"/>
          <w:sz w:val="24"/>
          <w:szCs w:val="28"/>
          <w:lang w:val="en-GB"/>
        </w:rPr>
        <w:t>8. Monitoring and reporting</w:t>
      </w:r>
      <w:bookmarkEnd w:id="18"/>
    </w:p>
    <w:p w14:paraId="3B9C856E" w14:textId="5448C6AB" w:rsidR="003906A8" w:rsidRPr="004C564B" w:rsidRDefault="004C564B" w:rsidP="004C564B">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spacing w:after="180"/>
        <w:rPr>
          <w:b/>
          <w:color w:val="232425"/>
          <w:lang w:val="en-GB"/>
        </w:rPr>
      </w:pPr>
      <w:r w:rsidRPr="00DE3F81">
        <w:rPr>
          <w:b/>
          <w:color w:val="232425"/>
          <w:lang w:val="en-GB"/>
        </w:rPr>
        <w:t>List of non-functional requirements:</w:t>
      </w:r>
    </w:p>
    <w:tbl>
      <w:tblPr>
        <w:tblStyle w:val="TableGrid"/>
        <w:tblW w:w="9360" w:type="dxa"/>
        <w:tblInd w:w="105" w:type="dxa"/>
        <w:tblLayout w:type="fixed"/>
        <w:tblLook w:val="04A0" w:firstRow="1" w:lastRow="0" w:firstColumn="1" w:lastColumn="0" w:noHBand="0" w:noVBand="1"/>
      </w:tblPr>
      <w:tblGrid>
        <w:gridCol w:w="1699"/>
        <w:gridCol w:w="4240"/>
        <w:gridCol w:w="3421"/>
      </w:tblGrid>
      <w:tr w:rsidR="003906A8" w14:paraId="6BCC7202" w14:textId="77777777">
        <w:tc>
          <w:tcPr>
            <w:tcW w:w="1699" w:type="dxa"/>
            <w:shd w:val="clear" w:color="auto" w:fill="E7E6E6"/>
            <w:vAlign w:val="center"/>
          </w:tcPr>
          <w:p w14:paraId="41CE930B" w14:textId="77777777" w:rsidR="003906A8" w:rsidRDefault="008F5A93" w:rsidP="00BE01DC">
            <w:pPr>
              <w:spacing w:before="86" w:after="86" w:line="240" w:lineRule="auto"/>
            </w:pPr>
            <w:r>
              <w:rPr>
                <w:rFonts w:eastAsia="MS Mincho"/>
                <w:b/>
                <w:sz w:val="20"/>
              </w:rPr>
              <w:t>Requirement ID</w:t>
            </w:r>
          </w:p>
        </w:tc>
        <w:tc>
          <w:tcPr>
            <w:tcW w:w="4240" w:type="dxa"/>
            <w:shd w:val="clear" w:color="auto" w:fill="E7E6E6"/>
            <w:vAlign w:val="center"/>
          </w:tcPr>
          <w:p w14:paraId="65737CE2" w14:textId="77777777" w:rsidR="003906A8" w:rsidRDefault="008F5A93">
            <w:pPr>
              <w:spacing w:before="86" w:after="86" w:line="240" w:lineRule="auto"/>
              <w:jc w:val="center"/>
            </w:pPr>
            <w:r>
              <w:rPr>
                <w:rFonts w:eastAsia="MS Mincho"/>
                <w:b/>
                <w:sz w:val="20"/>
              </w:rPr>
              <w:t>Explanation</w:t>
            </w:r>
          </w:p>
        </w:tc>
        <w:tc>
          <w:tcPr>
            <w:tcW w:w="3421" w:type="dxa"/>
            <w:shd w:val="clear" w:color="auto" w:fill="E7E6E6"/>
            <w:vAlign w:val="center"/>
          </w:tcPr>
          <w:p w14:paraId="78FCE88F" w14:textId="77777777" w:rsidR="003906A8" w:rsidRDefault="008F5A93">
            <w:pPr>
              <w:spacing w:before="86" w:after="86" w:line="240" w:lineRule="auto"/>
            </w:pPr>
            <w:r>
              <w:rPr>
                <w:rFonts w:cstheme="minorHAnsi"/>
                <w:b/>
                <w:bCs/>
                <w:color w:val="232425"/>
                <w:sz w:val="20"/>
              </w:rPr>
              <w:t>Descriptions and references of the proposed solution meeting the requirements (including reference to the relevant pages from the proposal)</w:t>
            </w:r>
          </w:p>
        </w:tc>
      </w:tr>
      <w:tr w:rsidR="00B61E43" w14:paraId="40A69AA7" w14:textId="77777777" w:rsidTr="000A406F">
        <w:tc>
          <w:tcPr>
            <w:tcW w:w="1699" w:type="dxa"/>
          </w:tcPr>
          <w:p w14:paraId="22B8988A" w14:textId="38DF262C" w:rsidR="00B61E43" w:rsidRDefault="00B61E43" w:rsidP="00BE01DC">
            <w:pPr>
              <w:spacing w:before="86" w:after="86" w:line="240" w:lineRule="auto"/>
            </w:pPr>
            <w:r w:rsidRPr="00DE3F81">
              <w:rPr>
                <w:color w:val="232425"/>
                <w:lang w:val="en-GB"/>
              </w:rPr>
              <w:t>NFR-8.1: Continuous monitoring</w:t>
            </w:r>
          </w:p>
        </w:tc>
        <w:tc>
          <w:tcPr>
            <w:tcW w:w="4240" w:type="dxa"/>
          </w:tcPr>
          <w:p w14:paraId="12AFF167" w14:textId="1187F2E2" w:rsidR="00B61E43" w:rsidRDefault="00B61E43" w:rsidP="00B61E43">
            <w:pPr>
              <w:spacing w:before="86" w:after="86" w:line="240" w:lineRule="auto"/>
            </w:pPr>
            <w:r w:rsidRPr="00DE3F81">
              <w:rPr>
                <w:color w:val="232425"/>
                <w:sz w:val="20"/>
                <w:szCs w:val="20"/>
                <w:lang w:val="en-GB"/>
              </w:rPr>
              <w:t>The system shall implement continuous performance, availability, and security monitoring using an open-source monitoring stack.</w:t>
            </w:r>
          </w:p>
        </w:tc>
        <w:tc>
          <w:tcPr>
            <w:tcW w:w="3421" w:type="dxa"/>
            <w:vAlign w:val="center"/>
          </w:tcPr>
          <w:p w14:paraId="7194DBDC" w14:textId="77777777" w:rsidR="00B61E43" w:rsidRDefault="00B61E43" w:rsidP="00B61E43">
            <w:pPr>
              <w:spacing w:before="86" w:after="86" w:line="240" w:lineRule="auto"/>
              <w:rPr>
                <w:rFonts w:eastAsia="MS Mincho"/>
              </w:rPr>
            </w:pPr>
          </w:p>
        </w:tc>
      </w:tr>
      <w:tr w:rsidR="00475C0B" w14:paraId="473F4D44" w14:textId="77777777" w:rsidTr="00DD4D64">
        <w:tc>
          <w:tcPr>
            <w:tcW w:w="1699" w:type="dxa"/>
          </w:tcPr>
          <w:p w14:paraId="67C7C952" w14:textId="6B1FCE1E" w:rsidR="00475C0B" w:rsidRDefault="00475C0B" w:rsidP="00BE01DC">
            <w:pPr>
              <w:spacing w:before="86" w:after="86" w:line="240" w:lineRule="auto"/>
            </w:pPr>
            <w:r w:rsidRPr="00DE3F81">
              <w:rPr>
                <w:color w:val="232425"/>
                <w:lang w:val="en-GB"/>
              </w:rPr>
              <w:t>NFR-8.2: SLA reporting</w:t>
            </w:r>
          </w:p>
        </w:tc>
        <w:tc>
          <w:tcPr>
            <w:tcW w:w="4240" w:type="dxa"/>
          </w:tcPr>
          <w:p w14:paraId="77EDCC28" w14:textId="50EA687D" w:rsidR="00475C0B" w:rsidRPr="00475C0B" w:rsidRDefault="00475C0B" w:rsidP="00475C0B">
            <w:pPr>
              <w:spacing w:before="86" w:after="86" w:line="240" w:lineRule="auto"/>
              <w:rPr>
                <w:sz w:val="20"/>
                <w:szCs w:val="20"/>
              </w:rPr>
            </w:pPr>
            <w:r w:rsidRPr="00DE3F81">
              <w:rPr>
                <w:color w:val="232425"/>
                <w:sz w:val="20"/>
                <w:szCs w:val="20"/>
                <w:lang w:val="en-GB"/>
              </w:rPr>
              <w:t>Regular SLA compliance reporting mechanisms shall be implemented, with escalation procedures and corrective actions for failure to meet performance indicators.</w:t>
            </w:r>
          </w:p>
        </w:tc>
        <w:tc>
          <w:tcPr>
            <w:tcW w:w="3421" w:type="dxa"/>
            <w:vAlign w:val="center"/>
          </w:tcPr>
          <w:p w14:paraId="769D0D3C" w14:textId="77777777" w:rsidR="00475C0B" w:rsidRDefault="00475C0B" w:rsidP="00475C0B">
            <w:pPr>
              <w:spacing w:before="86" w:after="86" w:line="240" w:lineRule="auto"/>
              <w:rPr>
                <w:rFonts w:eastAsia="MS Mincho"/>
              </w:rPr>
            </w:pPr>
          </w:p>
        </w:tc>
      </w:tr>
    </w:tbl>
    <w:p w14:paraId="520EB901" w14:textId="77777777" w:rsidR="00475C0B" w:rsidRPr="00475C0B" w:rsidRDefault="00475C0B" w:rsidP="00475C0B"/>
    <w:sectPr w:rsidR="00475C0B" w:rsidRPr="00475C0B">
      <w:headerReference w:type="default" r:id="rId11"/>
      <w:headerReference w:type="first" r:id="rId12"/>
      <w:pgSz w:w="12240" w:h="15840"/>
      <w:pgMar w:top="1560" w:right="1440" w:bottom="1008" w:left="1440" w:header="10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36B95" w14:textId="77777777" w:rsidR="00D8545C" w:rsidRDefault="00D8545C">
      <w:pPr>
        <w:spacing w:after="0" w:line="240" w:lineRule="auto"/>
      </w:pPr>
      <w:r>
        <w:separator/>
      </w:r>
    </w:p>
  </w:endnote>
  <w:endnote w:type="continuationSeparator" w:id="0">
    <w:p w14:paraId="00C6165D" w14:textId="77777777" w:rsidR="00D8545C" w:rsidRDefault="00D8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1"/>
    <w:family w:val="auto"/>
    <w:pitch w:val="variable"/>
  </w:font>
  <w:font w:name="Liberation Sans">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69958" w14:textId="77777777" w:rsidR="00D8545C" w:rsidRDefault="00D8545C">
      <w:pPr>
        <w:spacing w:after="0" w:line="240" w:lineRule="auto"/>
      </w:pPr>
      <w:r>
        <w:separator/>
      </w:r>
    </w:p>
  </w:footnote>
  <w:footnote w:type="continuationSeparator" w:id="0">
    <w:p w14:paraId="21C7529A" w14:textId="77777777" w:rsidR="00D8545C" w:rsidRDefault="00D85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CC58" w14:textId="40EC0528" w:rsidR="003906A8" w:rsidRDefault="008F5A93">
    <w:pPr>
      <w:pStyle w:val="Header"/>
      <w:jc w:val="right"/>
      <w:rPr>
        <w:rFonts w:asciiTheme="majorHAnsi" w:hAnsiTheme="majorHAnsi" w:cstheme="majorHAnsi"/>
      </w:rPr>
    </w:pPr>
    <w:r w:rsidRPr="0073536E">
      <w:rPr>
        <w:rFonts w:asciiTheme="majorHAnsi" w:hAnsiTheme="majorHAnsi" w:cstheme="majorHAnsi"/>
      </w:rPr>
      <w:t>RFP Reference No.:</w:t>
    </w:r>
    <w:r>
      <w:rPr>
        <w:rFonts w:asciiTheme="majorHAnsi" w:hAnsiTheme="majorHAnsi" w:cstheme="majorHAnsi"/>
      </w:rPr>
      <w:t xml:space="preserve"> RfP26/03</w:t>
    </w:r>
    <w:r w:rsidR="00B53734">
      <w:rPr>
        <w:rFonts w:asciiTheme="majorHAnsi" w:hAnsiTheme="majorHAnsi" w:cstheme="majorHAnsi"/>
      </w:rPr>
      <w:t>339</w:t>
    </w:r>
  </w:p>
  <w:p w14:paraId="2FF07F9A" w14:textId="77777777" w:rsidR="00B53734" w:rsidRPr="0073536E" w:rsidRDefault="00B53734">
    <w:pPr>
      <w:pStyle w:val="Header"/>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DAA8" w14:textId="77777777" w:rsidR="003906A8" w:rsidRDefault="008F5A93">
    <w:pPr>
      <w:pStyle w:val="Header"/>
      <w:jc w:val="right"/>
      <w:rPr>
        <w:rFonts w:asciiTheme="minorHAnsi" w:hAnsiTheme="minorHAnsi"/>
      </w:rPr>
    </w:pPr>
    <w:r>
      <w:rPr>
        <w:rFonts w:asciiTheme="minorHAnsi" w:hAnsiTheme="minorHAnsi"/>
      </w:rPr>
      <w:t>RFP Reference 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6B08"/>
    <w:multiLevelType w:val="multilevel"/>
    <w:tmpl w:val="781E8DEE"/>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E53588"/>
    <w:multiLevelType w:val="multilevel"/>
    <w:tmpl w:val="277C0594"/>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3" w15:restartNumberingAfterBreak="0">
    <w:nsid w:val="10EA62FB"/>
    <w:multiLevelType w:val="multilevel"/>
    <w:tmpl w:val="98187F94"/>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0EE8F8E"/>
    <w:multiLevelType w:val="multilevel"/>
    <w:tmpl w:val="761464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1BBC62E"/>
    <w:multiLevelType w:val="multilevel"/>
    <w:tmpl w:val="847E63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20D6D9CD"/>
    <w:multiLevelType w:val="multilevel"/>
    <w:tmpl w:val="E228B8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2B65580"/>
    <w:multiLevelType w:val="hybridMultilevel"/>
    <w:tmpl w:val="B4C0D4F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24013970"/>
    <w:multiLevelType w:val="multilevel"/>
    <w:tmpl w:val="02C498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242CD434"/>
    <w:multiLevelType w:val="multilevel"/>
    <w:tmpl w:val="62942E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27610591"/>
    <w:multiLevelType w:val="multilevel"/>
    <w:tmpl w:val="52562D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2C2035CB"/>
    <w:multiLevelType w:val="multilevel"/>
    <w:tmpl w:val="CFF467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2C96E43B"/>
    <w:multiLevelType w:val="multilevel"/>
    <w:tmpl w:val="B9D223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3A285604"/>
    <w:multiLevelType w:val="multilevel"/>
    <w:tmpl w:val="58C610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4D8BF79A"/>
    <w:multiLevelType w:val="multilevel"/>
    <w:tmpl w:val="DCA0718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559253C9"/>
    <w:multiLevelType w:val="multilevel"/>
    <w:tmpl w:val="B98C9EF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E234A47"/>
    <w:multiLevelType w:val="multilevel"/>
    <w:tmpl w:val="A97EFA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2F4595E"/>
    <w:multiLevelType w:val="multilevel"/>
    <w:tmpl w:val="02B2B5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734A70BC"/>
    <w:multiLevelType w:val="multilevel"/>
    <w:tmpl w:val="64BC19B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75243A6C"/>
    <w:multiLevelType w:val="multilevel"/>
    <w:tmpl w:val="6730069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889AA39"/>
    <w:multiLevelType w:val="multilevel"/>
    <w:tmpl w:val="0F0CA7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7D2C4C51"/>
    <w:multiLevelType w:val="hybridMultilevel"/>
    <w:tmpl w:val="F368620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7D45A061"/>
    <w:multiLevelType w:val="multilevel"/>
    <w:tmpl w:val="D41277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7F3A823D"/>
    <w:multiLevelType w:val="multilevel"/>
    <w:tmpl w:val="32D43896"/>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140149631">
    <w:abstractNumId w:val="19"/>
  </w:num>
  <w:num w:numId="2" w16cid:durableId="861362336">
    <w:abstractNumId w:val="3"/>
  </w:num>
  <w:num w:numId="3" w16cid:durableId="1674990002">
    <w:abstractNumId w:val="23"/>
  </w:num>
  <w:num w:numId="4" w16cid:durableId="1385760099">
    <w:abstractNumId w:val="1"/>
  </w:num>
  <w:num w:numId="5" w16cid:durableId="77600309">
    <w:abstractNumId w:val="0"/>
  </w:num>
  <w:num w:numId="6" w16cid:durableId="1515725839">
    <w:abstractNumId w:val="15"/>
  </w:num>
  <w:num w:numId="7" w16cid:durableId="346953212">
    <w:abstractNumId w:val="13"/>
  </w:num>
  <w:num w:numId="8" w16cid:durableId="629749366">
    <w:abstractNumId w:val="4"/>
  </w:num>
  <w:num w:numId="9" w16cid:durableId="640353256">
    <w:abstractNumId w:val="9"/>
  </w:num>
  <w:num w:numId="10" w16cid:durableId="839083849">
    <w:abstractNumId w:val="5"/>
  </w:num>
  <w:num w:numId="11" w16cid:durableId="1198203406">
    <w:abstractNumId w:val="8"/>
  </w:num>
  <w:num w:numId="12" w16cid:durableId="426122904">
    <w:abstractNumId w:val="11"/>
  </w:num>
  <w:num w:numId="13" w16cid:durableId="93328666">
    <w:abstractNumId w:val="14"/>
  </w:num>
  <w:num w:numId="14" w16cid:durableId="1106467062">
    <w:abstractNumId w:val="16"/>
  </w:num>
  <w:num w:numId="15" w16cid:durableId="162480824">
    <w:abstractNumId w:val="18"/>
  </w:num>
  <w:num w:numId="16" w16cid:durableId="1969705029">
    <w:abstractNumId w:val="17"/>
  </w:num>
  <w:num w:numId="17" w16cid:durableId="1375421732">
    <w:abstractNumId w:val="20"/>
  </w:num>
  <w:num w:numId="18" w16cid:durableId="834345363">
    <w:abstractNumId w:val="12"/>
  </w:num>
  <w:num w:numId="19" w16cid:durableId="2075003366">
    <w:abstractNumId w:val="10"/>
  </w:num>
  <w:num w:numId="20" w16cid:durableId="90711607">
    <w:abstractNumId w:val="22"/>
  </w:num>
  <w:num w:numId="21" w16cid:durableId="621768527">
    <w:abstractNumId w:val="6"/>
  </w:num>
  <w:num w:numId="22" w16cid:durableId="1063455838">
    <w:abstractNumId w:val="7"/>
  </w:num>
  <w:num w:numId="23" w16cid:durableId="79253075">
    <w:abstractNumId w:val="21"/>
  </w:num>
  <w:num w:numId="24" w16cid:durableId="1256285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8A8D2B9"/>
    <w:rsid w:val="0000192D"/>
    <w:rsid w:val="00044AAA"/>
    <w:rsid w:val="00076297"/>
    <w:rsid w:val="00081B9E"/>
    <w:rsid w:val="000901C8"/>
    <w:rsid w:val="000A2A39"/>
    <w:rsid w:val="000B0D51"/>
    <w:rsid w:val="000B377E"/>
    <w:rsid w:val="000C652C"/>
    <w:rsid w:val="000D3A6E"/>
    <w:rsid w:val="000E56F5"/>
    <w:rsid w:val="000F29F6"/>
    <w:rsid w:val="00103407"/>
    <w:rsid w:val="0011466A"/>
    <w:rsid w:val="00132AD4"/>
    <w:rsid w:val="00143F2A"/>
    <w:rsid w:val="00167DB0"/>
    <w:rsid w:val="001776C9"/>
    <w:rsid w:val="001A7499"/>
    <w:rsid w:val="001C1B16"/>
    <w:rsid w:val="001C280D"/>
    <w:rsid w:val="00223CE6"/>
    <w:rsid w:val="002357DA"/>
    <w:rsid w:val="00245A85"/>
    <w:rsid w:val="002519F8"/>
    <w:rsid w:val="0027648B"/>
    <w:rsid w:val="0028701C"/>
    <w:rsid w:val="002B43CB"/>
    <w:rsid w:val="002B57C9"/>
    <w:rsid w:val="002D2735"/>
    <w:rsid w:val="002E0373"/>
    <w:rsid w:val="00310DCA"/>
    <w:rsid w:val="003210B2"/>
    <w:rsid w:val="003263CB"/>
    <w:rsid w:val="00337013"/>
    <w:rsid w:val="00375DFB"/>
    <w:rsid w:val="003906A8"/>
    <w:rsid w:val="003913AA"/>
    <w:rsid w:val="003963E2"/>
    <w:rsid w:val="003A04B9"/>
    <w:rsid w:val="003B2A46"/>
    <w:rsid w:val="003C19DB"/>
    <w:rsid w:val="003C36EC"/>
    <w:rsid w:val="003F1A31"/>
    <w:rsid w:val="00426E39"/>
    <w:rsid w:val="00440779"/>
    <w:rsid w:val="00441111"/>
    <w:rsid w:val="00455CEA"/>
    <w:rsid w:val="00463AB1"/>
    <w:rsid w:val="00474EBC"/>
    <w:rsid w:val="00475C0B"/>
    <w:rsid w:val="00482B68"/>
    <w:rsid w:val="004A5E6C"/>
    <w:rsid w:val="004C564B"/>
    <w:rsid w:val="004D341F"/>
    <w:rsid w:val="004F478D"/>
    <w:rsid w:val="00517F9E"/>
    <w:rsid w:val="005411CB"/>
    <w:rsid w:val="005707E1"/>
    <w:rsid w:val="00614C1B"/>
    <w:rsid w:val="00690C20"/>
    <w:rsid w:val="00692038"/>
    <w:rsid w:val="00707FF5"/>
    <w:rsid w:val="00712EFC"/>
    <w:rsid w:val="0073536E"/>
    <w:rsid w:val="00752E41"/>
    <w:rsid w:val="00762C49"/>
    <w:rsid w:val="007A77E7"/>
    <w:rsid w:val="00827F2C"/>
    <w:rsid w:val="0083463F"/>
    <w:rsid w:val="008557B4"/>
    <w:rsid w:val="00862CEE"/>
    <w:rsid w:val="008672D4"/>
    <w:rsid w:val="00867C7F"/>
    <w:rsid w:val="00871AF7"/>
    <w:rsid w:val="00893481"/>
    <w:rsid w:val="008C74A3"/>
    <w:rsid w:val="008D075A"/>
    <w:rsid w:val="008E25AC"/>
    <w:rsid w:val="008F0A80"/>
    <w:rsid w:val="008F348E"/>
    <w:rsid w:val="008F5A93"/>
    <w:rsid w:val="00910C94"/>
    <w:rsid w:val="0091378D"/>
    <w:rsid w:val="009156CC"/>
    <w:rsid w:val="00960B4B"/>
    <w:rsid w:val="0096157C"/>
    <w:rsid w:val="00976A5E"/>
    <w:rsid w:val="00997136"/>
    <w:rsid w:val="009A7E27"/>
    <w:rsid w:val="009D2234"/>
    <w:rsid w:val="009D257E"/>
    <w:rsid w:val="009D6291"/>
    <w:rsid w:val="00A0700F"/>
    <w:rsid w:val="00A17016"/>
    <w:rsid w:val="00A230A7"/>
    <w:rsid w:val="00A90EEB"/>
    <w:rsid w:val="00AB2916"/>
    <w:rsid w:val="00AB6B57"/>
    <w:rsid w:val="00AB7938"/>
    <w:rsid w:val="00AC60D4"/>
    <w:rsid w:val="00AC670B"/>
    <w:rsid w:val="00AD417A"/>
    <w:rsid w:val="00B02FC2"/>
    <w:rsid w:val="00B533B1"/>
    <w:rsid w:val="00B53734"/>
    <w:rsid w:val="00B6054B"/>
    <w:rsid w:val="00B61E43"/>
    <w:rsid w:val="00B63F44"/>
    <w:rsid w:val="00B67C99"/>
    <w:rsid w:val="00B80800"/>
    <w:rsid w:val="00BE01DC"/>
    <w:rsid w:val="00C16C4B"/>
    <w:rsid w:val="00C17249"/>
    <w:rsid w:val="00C327BF"/>
    <w:rsid w:val="00C37704"/>
    <w:rsid w:val="00CA18FA"/>
    <w:rsid w:val="00CB7EA3"/>
    <w:rsid w:val="00CD016E"/>
    <w:rsid w:val="00CD3D81"/>
    <w:rsid w:val="00D11500"/>
    <w:rsid w:val="00D27DB1"/>
    <w:rsid w:val="00D43876"/>
    <w:rsid w:val="00D724B4"/>
    <w:rsid w:val="00D7778F"/>
    <w:rsid w:val="00D8545C"/>
    <w:rsid w:val="00D96023"/>
    <w:rsid w:val="00DC0796"/>
    <w:rsid w:val="00DD2B35"/>
    <w:rsid w:val="00DE3F81"/>
    <w:rsid w:val="00DF092C"/>
    <w:rsid w:val="00DF4277"/>
    <w:rsid w:val="00E06036"/>
    <w:rsid w:val="00E248AD"/>
    <w:rsid w:val="00E63C11"/>
    <w:rsid w:val="00E90A90"/>
    <w:rsid w:val="00ED317B"/>
    <w:rsid w:val="00F11324"/>
    <w:rsid w:val="00F21F36"/>
    <w:rsid w:val="00F57895"/>
    <w:rsid w:val="00F65D9E"/>
    <w:rsid w:val="00FA6B67"/>
    <w:rsid w:val="00FC3544"/>
    <w:rsid w:val="00FD0EAB"/>
    <w:rsid w:val="00FF0387"/>
    <w:rsid w:val="08A8D2B9"/>
    <w:rsid w:val="101E9041"/>
    <w:rsid w:val="12FF335D"/>
    <w:rsid w:val="40F5C64B"/>
    <w:rsid w:val="4EF52D8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10DF7"/>
  <w15:docId w15:val="{AECED6AA-1724-4107-A268-508E07D1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76"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pPr>
    <w:rPr>
      <w:rFonts w:ascii="Liberation Sans" w:eastAsia="Arial Unicode MS" w:hAnsi="Liberation Sans" w:cs="Arial Unicode MS"/>
      <w:sz w:val="28"/>
      <w:szCs w:val="28"/>
    </w:rPr>
  </w:style>
  <w:style w:type="paragraph" w:styleId="BodyText">
    <w:name w:val="Body Text"/>
    <w:basedOn w:val="Normal"/>
    <w:link w:val="BodyTextChar"/>
    <w:uiPriority w:val="99"/>
    <w:unhideWhenUsed/>
    <w:rsid w:val="00AA1D8D"/>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List Paragraph (numbered (a)),Medium Grid 1 - Accent 21,Akapit z listą BS,WB Para,Ha,MCHIP_list paragraph,Recommendation,Table bullet,Bullet Styles para,First Level Outline,Resume Title,heading 4,Citation List,4 Bullet,Bullet 4,列出"/>
    <w:basedOn w:val="Normal"/>
    <w:link w:val="ListParagraphChar"/>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line="480" w:lineRule="auto"/>
    </w:pPr>
  </w:style>
  <w:style w:type="paragraph" w:styleId="BodyText3">
    <w:name w:val="Body Text 3"/>
    <w:basedOn w:val="Normal"/>
    <w:link w:val="BodyText3Char"/>
    <w:uiPriority w:val="99"/>
    <w:unhideWhenUsed/>
    <w:qFormat/>
    <w:rsid w:val="00AA1D8D"/>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aliases w:val="List Paragraph (numbered (a)) Char,Medium Grid 1 - Accent 21 Char,Akapit z listą BS Char,WB Para Char,Ha Char,MCHIP_list paragraph Char,Recommendation Char,Table bullet Char,Bullet Styles para Char,First Level Outline Char,列出 Char"/>
    <w:basedOn w:val="DefaultParagraphFont"/>
    <w:link w:val="ListParagraph"/>
    <w:uiPriority w:val="34"/>
    <w:qFormat/>
    <w:rsid w:val="00976A5E"/>
    <w:rPr>
      <w:rFonts w:ascii="Calibri" w:hAnsi="Calibri"/>
    </w:rPr>
  </w:style>
  <w:style w:type="paragraph" w:styleId="CommentText">
    <w:name w:val="annotation text"/>
    <w:basedOn w:val="Normal"/>
    <w:link w:val="CommentTextChar1"/>
    <w:uiPriority w:val="99"/>
    <w:rsid w:val="0028701C"/>
    <w:pPr>
      <w:suppressAutoHyphens w:val="0"/>
      <w:spacing w:after="0" w:line="240" w:lineRule="auto"/>
    </w:pPr>
    <w:rPr>
      <w:rFonts w:ascii="Verdana" w:eastAsia="Times New Roman" w:hAnsi="Verdana" w:cs="Arial"/>
      <w:sz w:val="20"/>
      <w:szCs w:val="20"/>
      <w:lang w:val="en-GB" w:eastAsia="en-GB"/>
    </w:rPr>
  </w:style>
  <w:style w:type="character" w:customStyle="1" w:styleId="CommentTextChar">
    <w:name w:val="Comment Text Char"/>
    <w:basedOn w:val="DefaultParagraphFont"/>
    <w:uiPriority w:val="99"/>
    <w:semiHidden/>
    <w:rsid w:val="0028701C"/>
    <w:rPr>
      <w:rFonts w:ascii="Calibri" w:hAnsi="Calibri"/>
      <w:sz w:val="20"/>
      <w:szCs w:val="20"/>
    </w:rPr>
  </w:style>
  <w:style w:type="character" w:customStyle="1" w:styleId="CommentTextChar1">
    <w:name w:val="Comment Text Char1"/>
    <w:basedOn w:val="DefaultParagraphFont"/>
    <w:link w:val="CommentText"/>
    <w:uiPriority w:val="99"/>
    <w:rsid w:val="0028701C"/>
    <w:rPr>
      <w:rFonts w:ascii="Verdana" w:eastAsia="Times New Roman" w:hAnsi="Verdana" w:cs="Arial"/>
      <w:sz w:val="20"/>
      <w:szCs w:val="20"/>
      <w:lang w:val="en-GB" w:eastAsia="en-GB"/>
    </w:rPr>
  </w:style>
  <w:style w:type="character" w:styleId="CommentReference">
    <w:name w:val="annotation reference"/>
    <w:basedOn w:val="DefaultParagraphFont"/>
    <w:uiPriority w:val="99"/>
    <w:unhideWhenUsed/>
    <w:rsid w:val="0028701C"/>
    <w:rPr>
      <w:sz w:val="16"/>
      <w:szCs w:val="16"/>
    </w:rPr>
  </w:style>
  <w:style w:type="character" w:styleId="Mention">
    <w:name w:val="Mention"/>
    <w:basedOn w:val="DefaultParagraphFont"/>
    <w:uiPriority w:val="99"/>
    <w:unhideWhenUsed/>
    <w:rsid w:val="002870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UNDP-MDA-01093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Annex_1_Proposal Compliance Checklist.docx</OriginalFileName>
    <OriginalNegotiationId xmlns="e3444403-f3ee-4177-94fe-65e1cbd0c3f2">300003994682114</OriginalNegotiationId>
    <_dlc_DocId xmlns="45e793ef-0031-4b09-a8ac-54742f93ccb1">UNDPPUBDOCS-2047177221-1653004</_dlc_DocId>
    <_dlc_DocIdUrl xmlns="45e793ef-0031-4b09-a8ac-54742f93ccb1">
      <Url>https://undp.sharepoint.com/sites/Docs-Public/_layouts/15/DocIdRedir.aspx?ID=UNDPPUBDOCS-2047177221-1653004</Url>
      <Description>UNDPPUBDOCS-2047177221-1653004</Description>
    </_dlc_DocIdUrl>
    <Token xmlns="e3444403-f3ee-4177-94fe-65e1cbd0c3f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9D1AD1-AB48-4D2E-969F-D6FB437648B4}">
  <ds:schemaRefs>
    <ds:schemaRef ds:uri="http://schemas.microsoft.com/office/2006/metadata/properties"/>
    <ds:schemaRef ds:uri="http://schemas.microsoft.com/office/infopath/2007/PartnerControls"/>
    <ds:schemaRef ds:uri="11fb4f6b-e57e-49db-89b0-a09de08c8d5e"/>
    <ds:schemaRef ds:uri="7b753d0f-6066-4e13-bcf7-79af4b378fd2"/>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2E151EBE-46F8-4941-ACF4-43AAB2739437}"/>
</file>

<file path=customXml/itemProps4.xml><?xml version="1.0" encoding="utf-8"?>
<ds:datastoreItem xmlns:ds="http://schemas.openxmlformats.org/officeDocument/2006/customXml" ds:itemID="{A9A57865-D620-4C2B-9A41-18433E43FC21}">
  <ds:schemaRefs>
    <ds:schemaRef ds:uri="http://schemas.microsoft.com/sharepoint/v3/contenttype/forms"/>
  </ds:schemaRefs>
</ds:datastoreItem>
</file>

<file path=customXml/itemProps5.xml><?xml version="1.0" encoding="utf-8"?>
<ds:datastoreItem xmlns:ds="http://schemas.openxmlformats.org/officeDocument/2006/customXml" ds:itemID="{9D9921AC-1A9E-4C2F-B3CE-3E3B8CE008D5}"/>
</file>

<file path=docProps/app.xml><?xml version="1.0" encoding="utf-8"?>
<Properties xmlns="http://schemas.openxmlformats.org/officeDocument/2006/extended-properties" xmlns:vt="http://schemas.openxmlformats.org/officeDocument/2006/docPropsVTypes">
  <Template>Normal.dotm</Template>
  <TotalTime>62</TotalTime>
  <Pages>17</Pages>
  <Words>5023</Words>
  <Characters>28635</Characters>
  <Application>Microsoft Office Word</Application>
  <DocSecurity>0</DocSecurity>
  <Lines>238</Lines>
  <Paragraphs>67</Paragraphs>
  <ScaleCrop>false</ScaleCrop>
  <Company/>
  <LinksUpToDate>false</LinksUpToDate>
  <CharactersWithSpaces>33591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generated by python-docx</dc:description>
  <cp:lastModifiedBy>Iurie Tarcenco</cp:lastModifiedBy>
  <cp:revision>134</cp:revision>
  <dcterms:created xsi:type="dcterms:W3CDTF">2026-06-01T15:15:00Z</dcterms:created>
  <dcterms:modified xsi:type="dcterms:W3CDTF">2026-08-31T07:56:00Z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1a5e953a-979d-4177-a1e2-9a2709a872fd</vt:lpwstr>
  </property>
  <property fmtid="{D5CDD505-2E9C-101B-9397-08002B2CF9AE}" pid="5" name="Order">
    <vt:r8>165300400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