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27" w:rsidRPr="00AC09CB" w:rsidRDefault="00C74E70" w:rsidP="001E7127">
      <w:pPr>
        <w:jc w:val="right"/>
        <w:rPr>
          <w:rFonts w:asciiTheme="minorHAnsi" w:hAnsiTheme="minorHAnsi" w:cs="Calibri"/>
          <w:b/>
          <w:sz w:val="28"/>
          <w:szCs w:val="28"/>
        </w:rPr>
      </w:pPr>
      <w:r w:rsidRPr="00AC09CB">
        <w:rPr>
          <w:rFonts w:asciiTheme="minorHAnsi" w:hAnsiTheme="minorHAnsi" w:cs="Calibri"/>
          <w:b/>
          <w:sz w:val="28"/>
          <w:szCs w:val="28"/>
        </w:rPr>
        <w:t>A</w:t>
      </w:r>
      <w:r w:rsidR="001E7127" w:rsidRPr="00AC09CB">
        <w:rPr>
          <w:rFonts w:asciiTheme="minorHAnsi" w:hAnsiTheme="minorHAnsi" w:cs="Calibri"/>
          <w:b/>
          <w:sz w:val="28"/>
          <w:szCs w:val="28"/>
        </w:rPr>
        <w:t>nnex 2</w:t>
      </w:r>
    </w:p>
    <w:p w:rsidR="001E7127" w:rsidRPr="00AC09CB" w:rsidRDefault="001E7127" w:rsidP="001E7127">
      <w:pPr>
        <w:rPr>
          <w:rFonts w:asciiTheme="minorHAnsi" w:hAnsiTheme="minorHAnsi" w:cs="Calibri"/>
          <w:sz w:val="28"/>
          <w:szCs w:val="28"/>
        </w:rPr>
      </w:pPr>
    </w:p>
    <w:p w:rsidR="003C5CC1" w:rsidRPr="009819A5" w:rsidRDefault="003C5CC1" w:rsidP="003C5CC1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3C5CC1" w:rsidRPr="00E933A8" w:rsidRDefault="003C5CC1" w:rsidP="003C5CC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3C5CC1" w:rsidRPr="00E933A8" w:rsidRDefault="003C5CC1" w:rsidP="003C5CC1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3C5CC1" w:rsidRPr="00E933A8" w:rsidRDefault="003C5CC1" w:rsidP="003C5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3C5CC1" w:rsidRDefault="003C5CC1" w:rsidP="003C5CC1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</w:t>
      </w:r>
      <w:r w:rsidRPr="00900FDB">
        <w:rPr>
          <w:rFonts w:ascii="Calibri" w:hAnsi="Calibri" w:cs="Calibri"/>
          <w:snapToGrid w:val="0"/>
          <w:sz w:val="22"/>
          <w:szCs w:val="22"/>
        </w:rPr>
        <w:t>RFQ Reference No</w:t>
      </w:r>
      <w:r>
        <w:rPr>
          <w:rFonts w:ascii="Calibri" w:hAnsi="Calibri" w:cs="Calibri"/>
          <w:snapToGrid w:val="0"/>
          <w:sz w:val="22"/>
          <w:szCs w:val="22"/>
        </w:rPr>
        <w:t xml:space="preserve">. </w:t>
      </w:r>
      <w:r w:rsidRPr="00900FDB">
        <w:rPr>
          <w:rFonts w:ascii="Calibri" w:hAnsi="Calibri" w:cs="Calibri"/>
          <w:b/>
          <w:snapToGrid w:val="0"/>
          <w:sz w:val="22"/>
          <w:szCs w:val="22"/>
        </w:rPr>
        <w:t>RFQ17/01438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3C5CC1" w:rsidRDefault="003C5CC1" w:rsidP="003C5CC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3C5CC1" w:rsidRDefault="003C5CC1" w:rsidP="003C5CC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3C5CC1" w:rsidRPr="004F6969" w:rsidRDefault="003C5CC1" w:rsidP="003C5CC1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678"/>
        <w:gridCol w:w="1134"/>
        <w:gridCol w:w="1275"/>
        <w:gridCol w:w="1843"/>
      </w:tblGrid>
      <w:tr w:rsidR="003C5CC1" w:rsidRPr="00E933A8" w:rsidTr="00240ACF">
        <w:tc>
          <w:tcPr>
            <w:tcW w:w="738" w:type="dxa"/>
          </w:tcPr>
          <w:p w:rsidR="003C5CC1" w:rsidRPr="00E933A8" w:rsidRDefault="003C5CC1" w:rsidP="00240A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678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275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843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3C5CC1" w:rsidRPr="00E933A8" w:rsidTr="00240ACF">
        <w:tc>
          <w:tcPr>
            <w:tcW w:w="738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3C5CC1" w:rsidRPr="00E67E22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  <w:r w:rsidRPr="00E67E22">
              <w:rPr>
                <w:rFonts w:ascii="Calibri" w:hAnsi="Calibri" w:cs="Calibri"/>
                <w:sz w:val="22"/>
                <w:szCs w:val="22"/>
              </w:rPr>
              <w:t xml:space="preserve">Approved methodology, table of contents and working plan </w:t>
            </w:r>
          </w:p>
        </w:tc>
        <w:tc>
          <w:tcPr>
            <w:tcW w:w="1134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c>
          <w:tcPr>
            <w:tcW w:w="738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3C5CC1" w:rsidRPr="00E67E22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  <w:r w:rsidRPr="00E67E22">
              <w:rPr>
                <w:rFonts w:ascii="Calibri" w:hAnsi="Calibri" w:cs="Calibri"/>
                <w:sz w:val="22"/>
                <w:szCs w:val="22"/>
              </w:rPr>
              <w:t>Legal framework summary report provided</w:t>
            </w:r>
          </w:p>
        </w:tc>
        <w:tc>
          <w:tcPr>
            <w:tcW w:w="1134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c>
          <w:tcPr>
            <w:tcW w:w="738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3C5CC1" w:rsidRPr="00E67E22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  <w:r w:rsidRPr="00E67E22">
              <w:rPr>
                <w:rFonts w:ascii="Calibri" w:hAnsi="Calibri" w:cs="Calibri"/>
                <w:sz w:val="22"/>
                <w:szCs w:val="22"/>
              </w:rPr>
              <w:t xml:space="preserve">Feasibility assessment in </w:t>
            </w:r>
            <w:proofErr w:type="spellStart"/>
            <w:r w:rsidRPr="00E67E22">
              <w:rPr>
                <w:rFonts w:ascii="Calibri" w:hAnsi="Calibri" w:cs="Calibri"/>
                <w:sz w:val="22"/>
                <w:szCs w:val="22"/>
              </w:rPr>
              <w:t>Cimislia</w:t>
            </w:r>
            <w:proofErr w:type="spellEnd"/>
            <w:r w:rsidRPr="00E67E22">
              <w:rPr>
                <w:rFonts w:ascii="Calibri" w:hAnsi="Calibri" w:cs="Calibri"/>
                <w:sz w:val="22"/>
                <w:szCs w:val="22"/>
              </w:rPr>
              <w:t xml:space="preserve"> conducted</w:t>
            </w:r>
          </w:p>
        </w:tc>
        <w:tc>
          <w:tcPr>
            <w:tcW w:w="1134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c>
          <w:tcPr>
            <w:tcW w:w="738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3C5CC1" w:rsidRPr="00E67E22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  <w:r w:rsidRPr="00E67E22">
              <w:rPr>
                <w:rFonts w:ascii="Calibri" w:hAnsi="Calibri" w:cs="Calibri"/>
                <w:sz w:val="22"/>
                <w:szCs w:val="22"/>
              </w:rPr>
              <w:t xml:space="preserve">Feasibility assessment in </w:t>
            </w:r>
            <w:proofErr w:type="spellStart"/>
            <w:r w:rsidRPr="00E67E22">
              <w:rPr>
                <w:rFonts w:ascii="Calibri" w:hAnsi="Calibri" w:cs="Calibri"/>
                <w:sz w:val="22"/>
                <w:szCs w:val="22"/>
              </w:rPr>
              <w:t>Rezina</w:t>
            </w:r>
            <w:proofErr w:type="spellEnd"/>
            <w:r w:rsidRPr="00E67E22">
              <w:rPr>
                <w:rFonts w:ascii="Calibri" w:hAnsi="Calibri" w:cs="Calibri"/>
                <w:sz w:val="22"/>
                <w:szCs w:val="22"/>
              </w:rPr>
              <w:t xml:space="preserve"> conducted</w:t>
            </w:r>
          </w:p>
        </w:tc>
        <w:tc>
          <w:tcPr>
            <w:tcW w:w="1134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c>
          <w:tcPr>
            <w:tcW w:w="738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3C5CC1" w:rsidRPr="00E67E22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  <w:r w:rsidRPr="00E67E22">
              <w:rPr>
                <w:rFonts w:ascii="Calibri" w:hAnsi="Calibri" w:cs="Calibri"/>
                <w:sz w:val="22"/>
                <w:szCs w:val="22"/>
              </w:rPr>
              <w:t>Comparative SWOT Analysis, ranking and final recommendation provided</w:t>
            </w:r>
          </w:p>
        </w:tc>
        <w:tc>
          <w:tcPr>
            <w:tcW w:w="1134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c>
          <w:tcPr>
            <w:tcW w:w="738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3C5CC1" w:rsidRPr="00E67E22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  <w:r w:rsidRPr="00E67E22">
              <w:rPr>
                <w:rFonts w:ascii="Calibri" w:hAnsi="Calibri" w:cs="Calibri"/>
                <w:sz w:val="22"/>
                <w:szCs w:val="22"/>
              </w:rPr>
              <w:t>Feasibility report presented and endorsed by the working group</w:t>
            </w:r>
          </w:p>
        </w:tc>
        <w:tc>
          <w:tcPr>
            <w:tcW w:w="1134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c>
          <w:tcPr>
            <w:tcW w:w="738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3C5CC1" w:rsidRPr="00E67E22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  <w:r w:rsidRPr="00E67E22">
              <w:rPr>
                <w:rFonts w:ascii="Calibri" w:hAnsi="Calibri" w:cs="Calibri"/>
                <w:sz w:val="22"/>
                <w:szCs w:val="22"/>
              </w:rPr>
              <w:t>Technical specifications of the equipment required for establishing the municipal waste operator developed. Action plan of establishing IMC presented</w:t>
            </w:r>
          </w:p>
        </w:tc>
        <w:tc>
          <w:tcPr>
            <w:tcW w:w="1134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c>
          <w:tcPr>
            <w:tcW w:w="738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3C5CC1" w:rsidRPr="00E67E22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  <w:r w:rsidRPr="00E67E22">
              <w:rPr>
                <w:rFonts w:ascii="Calibri" w:hAnsi="Calibri" w:cs="Calibri"/>
                <w:sz w:val="22"/>
                <w:szCs w:val="22"/>
              </w:rPr>
              <w:t>Step-by-step guide on creation and operation of municipal waste operators for biofuel production and supply</w:t>
            </w:r>
          </w:p>
        </w:tc>
        <w:tc>
          <w:tcPr>
            <w:tcW w:w="1134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c>
          <w:tcPr>
            <w:tcW w:w="738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3C5CC1" w:rsidRPr="00E67E22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  <w:r w:rsidRPr="00E67E22">
              <w:rPr>
                <w:rFonts w:ascii="Calibri" w:hAnsi="Calibri" w:cs="Calibri"/>
                <w:sz w:val="22"/>
                <w:szCs w:val="22"/>
              </w:rPr>
              <w:t>Final assignment report submitted and approved</w:t>
            </w:r>
          </w:p>
        </w:tc>
        <w:tc>
          <w:tcPr>
            <w:tcW w:w="1134" w:type="dxa"/>
          </w:tcPr>
          <w:p w:rsidR="003C5CC1" w:rsidRDefault="003C5CC1" w:rsidP="00240A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c>
          <w:tcPr>
            <w:tcW w:w="738" w:type="dxa"/>
          </w:tcPr>
          <w:p w:rsidR="003C5CC1" w:rsidRPr="00E933A8" w:rsidRDefault="003C5CC1" w:rsidP="00240A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</w:tcPr>
          <w:p w:rsidR="003C5CC1" w:rsidRPr="00E933A8" w:rsidRDefault="003C5CC1" w:rsidP="00240A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Total Prices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Services</w:t>
            </w:r>
          </w:p>
        </w:tc>
        <w:tc>
          <w:tcPr>
            <w:tcW w:w="1843" w:type="dxa"/>
          </w:tcPr>
          <w:p w:rsidR="003C5CC1" w:rsidRPr="00E933A8" w:rsidRDefault="003C5CC1" w:rsidP="00240A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5CC1" w:rsidRDefault="003C5CC1" w:rsidP="003C5CC1">
      <w:pPr>
        <w:rPr>
          <w:rFonts w:ascii="Calibri" w:hAnsi="Calibri" w:cs="Calibri"/>
          <w:sz w:val="22"/>
          <w:szCs w:val="22"/>
        </w:rPr>
      </w:pPr>
    </w:p>
    <w:p w:rsidR="003C5CC1" w:rsidRDefault="003C5CC1" w:rsidP="003C5CC1">
      <w:pPr>
        <w:rPr>
          <w:rFonts w:ascii="Calibri" w:hAnsi="Calibri" w:cs="Calibri"/>
          <w:sz w:val="22"/>
          <w:szCs w:val="22"/>
        </w:rPr>
      </w:pPr>
    </w:p>
    <w:p w:rsidR="003C5CC1" w:rsidRPr="00E933A8" w:rsidRDefault="003C5CC1" w:rsidP="003C5CC1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3C5CC1" w:rsidRPr="00E933A8" w:rsidRDefault="003C5CC1" w:rsidP="003C5CC1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3C5CC1" w:rsidRPr="00E933A8" w:rsidTr="00240ACF">
        <w:trPr>
          <w:trHeight w:val="383"/>
        </w:trPr>
        <w:tc>
          <w:tcPr>
            <w:tcW w:w="4140" w:type="dxa"/>
            <w:vMerge w:val="restart"/>
          </w:tcPr>
          <w:p w:rsidR="003C5CC1" w:rsidRPr="00E933A8" w:rsidRDefault="003C5CC1" w:rsidP="00240ACF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5CC1" w:rsidRPr="00E933A8" w:rsidRDefault="003C5CC1" w:rsidP="00240A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3C5CC1" w:rsidRPr="00E933A8" w:rsidTr="00240ACF">
        <w:trPr>
          <w:trHeight w:val="382"/>
        </w:trPr>
        <w:tc>
          <w:tcPr>
            <w:tcW w:w="4140" w:type="dxa"/>
            <w:vMerge/>
          </w:tcPr>
          <w:p w:rsidR="003C5CC1" w:rsidRPr="00E933A8" w:rsidRDefault="003C5CC1" w:rsidP="00240ACF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3C5CC1" w:rsidRPr="00E933A8" w:rsidRDefault="003C5CC1" w:rsidP="00240A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3C5CC1" w:rsidRPr="00E933A8" w:rsidTr="00240ACF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3C5CC1" w:rsidRPr="00E933A8" w:rsidRDefault="003C5CC1" w:rsidP="00240A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F5911">
              <w:rPr>
                <w:rFonts w:ascii="Calibri" w:hAnsi="Calibri" w:cs="Calibri"/>
                <w:bCs/>
                <w:sz w:val="22"/>
                <w:szCs w:val="22"/>
              </w:rPr>
              <w:t>Maximum period for performance of all services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3C5CC1" w:rsidRPr="00E933A8" w:rsidRDefault="003C5CC1" w:rsidP="00240A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3C5CC1" w:rsidRPr="00E933A8" w:rsidRDefault="003C5CC1" w:rsidP="00240A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5CC1" w:rsidRPr="00E933A8" w:rsidTr="00240ACF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3C5CC1" w:rsidRPr="00E933A8" w:rsidRDefault="003C5CC1" w:rsidP="00240A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CC1" w:rsidRPr="00E933A8" w:rsidRDefault="003C5CC1" w:rsidP="00240A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5CC1" w:rsidRPr="00E933A8" w:rsidRDefault="003C5CC1" w:rsidP="003C5CC1">
      <w:pPr>
        <w:rPr>
          <w:rFonts w:ascii="Calibri" w:hAnsi="Calibri" w:cs="Calibri"/>
          <w:sz w:val="22"/>
          <w:szCs w:val="22"/>
        </w:rPr>
      </w:pPr>
    </w:p>
    <w:p w:rsidR="003C5CC1" w:rsidRPr="00E933A8" w:rsidRDefault="003C5CC1" w:rsidP="003C5CC1">
      <w:pPr>
        <w:rPr>
          <w:rFonts w:ascii="Calibri" w:hAnsi="Calibri" w:cs="Calibri"/>
          <w:sz w:val="22"/>
          <w:szCs w:val="22"/>
        </w:rPr>
      </w:pPr>
    </w:p>
    <w:p w:rsidR="003C5CC1" w:rsidRPr="00E933A8" w:rsidRDefault="003C5CC1" w:rsidP="003C5CC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3C5CC1" w:rsidRPr="00E933A8" w:rsidRDefault="003C5CC1" w:rsidP="003C5CC1">
      <w:pPr>
        <w:rPr>
          <w:rFonts w:ascii="Calibri" w:hAnsi="Calibri" w:cs="Calibri"/>
          <w:sz w:val="22"/>
          <w:szCs w:val="22"/>
        </w:rPr>
      </w:pPr>
    </w:p>
    <w:p w:rsidR="003C5CC1" w:rsidRPr="00E933A8" w:rsidRDefault="003C5CC1" w:rsidP="003C5CC1">
      <w:pPr>
        <w:rPr>
          <w:rFonts w:ascii="Calibri" w:hAnsi="Calibri" w:cs="Calibri"/>
          <w:sz w:val="22"/>
          <w:szCs w:val="22"/>
        </w:rPr>
      </w:pPr>
    </w:p>
    <w:p w:rsidR="003C5CC1" w:rsidRPr="00E933A8" w:rsidRDefault="003C5CC1" w:rsidP="003C5CC1">
      <w:pPr>
        <w:rPr>
          <w:rFonts w:ascii="Calibri" w:hAnsi="Calibri" w:cs="Calibri"/>
          <w:sz w:val="22"/>
          <w:szCs w:val="22"/>
        </w:rPr>
      </w:pPr>
    </w:p>
    <w:p w:rsidR="003C5CC1" w:rsidRPr="00E933A8" w:rsidRDefault="003C5CC1" w:rsidP="003C5CC1">
      <w:pPr>
        <w:rPr>
          <w:rFonts w:ascii="Calibri" w:hAnsi="Calibri" w:cs="Calibri"/>
          <w:sz w:val="22"/>
          <w:szCs w:val="22"/>
        </w:rPr>
      </w:pPr>
    </w:p>
    <w:p w:rsidR="003C5CC1" w:rsidRPr="00E933A8" w:rsidRDefault="003C5CC1" w:rsidP="003C5CC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3C5CC1" w:rsidRPr="00E933A8" w:rsidRDefault="003C5CC1" w:rsidP="003C5CC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3C5CC1" w:rsidRPr="00E933A8" w:rsidRDefault="003C5CC1" w:rsidP="003C5CC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A57142" w:rsidRPr="006A488C" w:rsidRDefault="00A57142" w:rsidP="003C5CC1">
      <w:pPr>
        <w:jc w:val="center"/>
        <w:rPr>
          <w:rFonts w:ascii="Myriad Pro" w:hAnsi="Myriad Pro" w:cs="Calibri"/>
          <w:i/>
          <w:sz w:val="22"/>
          <w:szCs w:val="22"/>
        </w:rPr>
      </w:pPr>
      <w:bookmarkStart w:id="0" w:name="_GoBack"/>
      <w:bookmarkEnd w:id="0"/>
    </w:p>
    <w:sectPr w:rsidR="00A57142" w:rsidRPr="006A488C" w:rsidSect="00517D8F">
      <w:footerReference w:type="even" r:id="rId8"/>
      <w:footerReference w:type="default" r:id="rId9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09" w:rsidRDefault="00A94F09">
      <w:r>
        <w:separator/>
      </w:r>
    </w:p>
  </w:endnote>
  <w:endnote w:type="continuationSeparator" w:id="0">
    <w:p w:rsidR="00A94F09" w:rsidRDefault="00A9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6" w:rsidRDefault="00F14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A36" w:rsidRDefault="00F14A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6" w:rsidRPr="00E30E5D" w:rsidRDefault="00F14A36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3C5CC1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fldSimple w:instr=" NUMPAGES  \* Arabic  \* MERGEFORMAT ">
      <w:r w:rsidR="003C5CC1" w:rsidRPr="003C5CC1">
        <w:rPr>
          <w:rFonts w:ascii="Verdana" w:hAnsi="Verdana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09" w:rsidRDefault="00A94F09">
      <w:r>
        <w:separator/>
      </w:r>
    </w:p>
  </w:footnote>
  <w:footnote w:type="continuationSeparator" w:id="0">
    <w:p w:rsidR="00A94F09" w:rsidRDefault="00A94F09">
      <w:r>
        <w:continuationSeparator/>
      </w:r>
    </w:p>
  </w:footnote>
  <w:footnote w:id="1">
    <w:p w:rsidR="003C5CC1" w:rsidRPr="00BA0E6E" w:rsidRDefault="003C5CC1" w:rsidP="003C5CC1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3C5CC1" w:rsidRPr="007E6019" w:rsidRDefault="003C5CC1" w:rsidP="003C5CC1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55E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0B7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B23291"/>
    <w:multiLevelType w:val="hybridMultilevel"/>
    <w:tmpl w:val="A0125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99C1E50"/>
    <w:multiLevelType w:val="hybridMultilevel"/>
    <w:tmpl w:val="752C824A"/>
    <w:lvl w:ilvl="0" w:tplc="DA2E99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7126"/>
    <w:rsid w:val="00026037"/>
    <w:rsid w:val="00026D28"/>
    <w:rsid w:val="0005008E"/>
    <w:rsid w:val="00094C2A"/>
    <w:rsid w:val="000B4F66"/>
    <w:rsid w:val="000C63F6"/>
    <w:rsid w:val="000D10A2"/>
    <w:rsid w:val="000D1B6F"/>
    <w:rsid w:val="000D784F"/>
    <w:rsid w:val="000E3D3A"/>
    <w:rsid w:val="000F0CC6"/>
    <w:rsid w:val="000F17AB"/>
    <w:rsid w:val="000F1B5D"/>
    <w:rsid w:val="000F1B79"/>
    <w:rsid w:val="000F1C7D"/>
    <w:rsid w:val="000F680E"/>
    <w:rsid w:val="001006BE"/>
    <w:rsid w:val="0010077B"/>
    <w:rsid w:val="00115A8A"/>
    <w:rsid w:val="00136EEA"/>
    <w:rsid w:val="0016314F"/>
    <w:rsid w:val="001642A7"/>
    <w:rsid w:val="00170AD5"/>
    <w:rsid w:val="00171878"/>
    <w:rsid w:val="00183C7D"/>
    <w:rsid w:val="00190B58"/>
    <w:rsid w:val="0019525F"/>
    <w:rsid w:val="001A0F60"/>
    <w:rsid w:val="001B2854"/>
    <w:rsid w:val="001C5BF4"/>
    <w:rsid w:val="001C69E7"/>
    <w:rsid w:val="001D2203"/>
    <w:rsid w:val="001E06C9"/>
    <w:rsid w:val="001E4531"/>
    <w:rsid w:val="001E7127"/>
    <w:rsid w:val="001F44BF"/>
    <w:rsid w:val="00207B63"/>
    <w:rsid w:val="002278C4"/>
    <w:rsid w:val="002353AB"/>
    <w:rsid w:val="0024131D"/>
    <w:rsid w:val="00252FCE"/>
    <w:rsid w:val="00291292"/>
    <w:rsid w:val="00291755"/>
    <w:rsid w:val="0029573D"/>
    <w:rsid w:val="002975C9"/>
    <w:rsid w:val="002A1C66"/>
    <w:rsid w:val="002A6223"/>
    <w:rsid w:val="002A6A25"/>
    <w:rsid w:val="002A6CD7"/>
    <w:rsid w:val="002A6E78"/>
    <w:rsid w:val="002C1F68"/>
    <w:rsid w:val="002D1B26"/>
    <w:rsid w:val="002F0B49"/>
    <w:rsid w:val="002F1AA5"/>
    <w:rsid w:val="002F421D"/>
    <w:rsid w:val="003035A8"/>
    <w:rsid w:val="00321365"/>
    <w:rsid w:val="0032273A"/>
    <w:rsid w:val="00322BFC"/>
    <w:rsid w:val="003255F3"/>
    <w:rsid w:val="0032787D"/>
    <w:rsid w:val="00333EB2"/>
    <w:rsid w:val="0034508F"/>
    <w:rsid w:val="0035298C"/>
    <w:rsid w:val="003542F0"/>
    <w:rsid w:val="00357D0A"/>
    <w:rsid w:val="00366DB9"/>
    <w:rsid w:val="00375A7E"/>
    <w:rsid w:val="003A14E7"/>
    <w:rsid w:val="003A3FE7"/>
    <w:rsid w:val="003B0BF1"/>
    <w:rsid w:val="003C342D"/>
    <w:rsid w:val="003C5CC1"/>
    <w:rsid w:val="003E05C1"/>
    <w:rsid w:val="004177DD"/>
    <w:rsid w:val="00433A66"/>
    <w:rsid w:val="004347E0"/>
    <w:rsid w:val="00440BEA"/>
    <w:rsid w:val="00467A97"/>
    <w:rsid w:val="004749D4"/>
    <w:rsid w:val="004773DB"/>
    <w:rsid w:val="00482B8E"/>
    <w:rsid w:val="00482D98"/>
    <w:rsid w:val="00485038"/>
    <w:rsid w:val="00485E3F"/>
    <w:rsid w:val="004A7C90"/>
    <w:rsid w:val="004B5248"/>
    <w:rsid w:val="004B6FEB"/>
    <w:rsid w:val="004C077F"/>
    <w:rsid w:val="004C22BD"/>
    <w:rsid w:val="004D4244"/>
    <w:rsid w:val="004D59D6"/>
    <w:rsid w:val="004E18A8"/>
    <w:rsid w:val="00500CD3"/>
    <w:rsid w:val="00515357"/>
    <w:rsid w:val="00517BB9"/>
    <w:rsid w:val="00517D8F"/>
    <w:rsid w:val="0052198D"/>
    <w:rsid w:val="00527451"/>
    <w:rsid w:val="0053399A"/>
    <w:rsid w:val="00533AD2"/>
    <w:rsid w:val="005608EA"/>
    <w:rsid w:val="00564FD2"/>
    <w:rsid w:val="00565DBB"/>
    <w:rsid w:val="00567588"/>
    <w:rsid w:val="00580F23"/>
    <w:rsid w:val="005B4F1B"/>
    <w:rsid w:val="005B7706"/>
    <w:rsid w:val="005D4AD7"/>
    <w:rsid w:val="005D5F60"/>
    <w:rsid w:val="005F382D"/>
    <w:rsid w:val="005F63A3"/>
    <w:rsid w:val="006070C7"/>
    <w:rsid w:val="00616075"/>
    <w:rsid w:val="00625358"/>
    <w:rsid w:val="006265F5"/>
    <w:rsid w:val="006266A3"/>
    <w:rsid w:val="006278A4"/>
    <w:rsid w:val="00627B74"/>
    <w:rsid w:val="00630F7E"/>
    <w:rsid w:val="00650619"/>
    <w:rsid w:val="006568D9"/>
    <w:rsid w:val="00661962"/>
    <w:rsid w:val="00676A9C"/>
    <w:rsid w:val="00690647"/>
    <w:rsid w:val="006A488C"/>
    <w:rsid w:val="006B201C"/>
    <w:rsid w:val="006D5936"/>
    <w:rsid w:val="006E1749"/>
    <w:rsid w:val="006E189C"/>
    <w:rsid w:val="006E755A"/>
    <w:rsid w:val="006F5558"/>
    <w:rsid w:val="007000F0"/>
    <w:rsid w:val="00710E36"/>
    <w:rsid w:val="00721208"/>
    <w:rsid w:val="007252C4"/>
    <w:rsid w:val="00725F6C"/>
    <w:rsid w:val="00730E5B"/>
    <w:rsid w:val="00730E66"/>
    <w:rsid w:val="007428A8"/>
    <w:rsid w:val="007528AD"/>
    <w:rsid w:val="0076461B"/>
    <w:rsid w:val="007726DC"/>
    <w:rsid w:val="007A65B5"/>
    <w:rsid w:val="007A6E9E"/>
    <w:rsid w:val="007B0AEC"/>
    <w:rsid w:val="007D6177"/>
    <w:rsid w:val="007D67B4"/>
    <w:rsid w:val="007D78C3"/>
    <w:rsid w:val="007E3774"/>
    <w:rsid w:val="007E77E2"/>
    <w:rsid w:val="007F246C"/>
    <w:rsid w:val="007F52F8"/>
    <w:rsid w:val="00802D8B"/>
    <w:rsid w:val="0081288D"/>
    <w:rsid w:val="008432EC"/>
    <w:rsid w:val="00843D0D"/>
    <w:rsid w:val="00850C75"/>
    <w:rsid w:val="00851222"/>
    <w:rsid w:val="008620F1"/>
    <w:rsid w:val="00863EB8"/>
    <w:rsid w:val="00881191"/>
    <w:rsid w:val="00881373"/>
    <w:rsid w:val="00891732"/>
    <w:rsid w:val="008A0708"/>
    <w:rsid w:val="008A3A41"/>
    <w:rsid w:val="008B7825"/>
    <w:rsid w:val="008C6127"/>
    <w:rsid w:val="008D6FEE"/>
    <w:rsid w:val="008D7B29"/>
    <w:rsid w:val="008E0E8A"/>
    <w:rsid w:val="0090601B"/>
    <w:rsid w:val="00917F4F"/>
    <w:rsid w:val="00920ED4"/>
    <w:rsid w:val="00923B6F"/>
    <w:rsid w:val="009245A4"/>
    <w:rsid w:val="00924D47"/>
    <w:rsid w:val="00926069"/>
    <w:rsid w:val="00926558"/>
    <w:rsid w:val="00927166"/>
    <w:rsid w:val="00935FF4"/>
    <w:rsid w:val="009658B1"/>
    <w:rsid w:val="00970D78"/>
    <w:rsid w:val="00973FC8"/>
    <w:rsid w:val="009819A5"/>
    <w:rsid w:val="009A1531"/>
    <w:rsid w:val="009B54B9"/>
    <w:rsid w:val="009B5548"/>
    <w:rsid w:val="009C4AB5"/>
    <w:rsid w:val="009D0E1E"/>
    <w:rsid w:val="009E026E"/>
    <w:rsid w:val="009E3376"/>
    <w:rsid w:val="009F25FC"/>
    <w:rsid w:val="009F2809"/>
    <w:rsid w:val="00A027EC"/>
    <w:rsid w:val="00A11DE1"/>
    <w:rsid w:val="00A1230C"/>
    <w:rsid w:val="00A157D2"/>
    <w:rsid w:val="00A32116"/>
    <w:rsid w:val="00A57142"/>
    <w:rsid w:val="00A94F09"/>
    <w:rsid w:val="00AB0DF1"/>
    <w:rsid w:val="00AC09CB"/>
    <w:rsid w:val="00AD6559"/>
    <w:rsid w:val="00AD70C3"/>
    <w:rsid w:val="00AF2045"/>
    <w:rsid w:val="00AF413F"/>
    <w:rsid w:val="00B038F3"/>
    <w:rsid w:val="00B12A64"/>
    <w:rsid w:val="00B13AC0"/>
    <w:rsid w:val="00B26FF4"/>
    <w:rsid w:val="00B32E94"/>
    <w:rsid w:val="00B41595"/>
    <w:rsid w:val="00B451E7"/>
    <w:rsid w:val="00B47CED"/>
    <w:rsid w:val="00B660A8"/>
    <w:rsid w:val="00B66150"/>
    <w:rsid w:val="00B70AE0"/>
    <w:rsid w:val="00B85EC2"/>
    <w:rsid w:val="00B86C0B"/>
    <w:rsid w:val="00B9167F"/>
    <w:rsid w:val="00B96A9C"/>
    <w:rsid w:val="00BA0042"/>
    <w:rsid w:val="00BB02D7"/>
    <w:rsid w:val="00BB7BFD"/>
    <w:rsid w:val="00BC36B2"/>
    <w:rsid w:val="00BE28AD"/>
    <w:rsid w:val="00BE5A7A"/>
    <w:rsid w:val="00BE6A46"/>
    <w:rsid w:val="00C02885"/>
    <w:rsid w:val="00C07898"/>
    <w:rsid w:val="00C15080"/>
    <w:rsid w:val="00C32CE0"/>
    <w:rsid w:val="00C36119"/>
    <w:rsid w:val="00C41406"/>
    <w:rsid w:val="00C442BC"/>
    <w:rsid w:val="00C523AB"/>
    <w:rsid w:val="00C6461F"/>
    <w:rsid w:val="00C74E70"/>
    <w:rsid w:val="00C82CE2"/>
    <w:rsid w:val="00C87412"/>
    <w:rsid w:val="00C94E07"/>
    <w:rsid w:val="00CA4473"/>
    <w:rsid w:val="00CA4C6F"/>
    <w:rsid w:val="00CB08F3"/>
    <w:rsid w:val="00CC2EA3"/>
    <w:rsid w:val="00CC53FD"/>
    <w:rsid w:val="00CC550E"/>
    <w:rsid w:val="00CD7686"/>
    <w:rsid w:val="00CD7A0A"/>
    <w:rsid w:val="00D21C3D"/>
    <w:rsid w:val="00D222C2"/>
    <w:rsid w:val="00D26E56"/>
    <w:rsid w:val="00D37D7F"/>
    <w:rsid w:val="00D46CB5"/>
    <w:rsid w:val="00D66133"/>
    <w:rsid w:val="00D66FB4"/>
    <w:rsid w:val="00D7288B"/>
    <w:rsid w:val="00D94F58"/>
    <w:rsid w:val="00DA3147"/>
    <w:rsid w:val="00DA4FFF"/>
    <w:rsid w:val="00DE2340"/>
    <w:rsid w:val="00DE7DD9"/>
    <w:rsid w:val="00DF4F4E"/>
    <w:rsid w:val="00E0557B"/>
    <w:rsid w:val="00E0615B"/>
    <w:rsid w:val="00E07B74"/>
    <w:rsid w:val="00E1278E"/>
    <w:rsid w:val="00E13A41"/>
    <w:rsid w:val="00E30E5D"/>
    <w:rsid w:val="00E31180"/>
    <w:rsid w:val="00E3345B"/>
    <w:rsid w:val="00E35D72"/>
    <w:rsid w:val="00E54A41"/>
    <w:rsid w:val="00E55790"/>
    <w:rsid w:val="00E55F80"/>
    <w:rsid w:val="00E83FA5"/>
    <w:rsid w:val="00E90187"/>
    <w:rsid w:val="00EA11A2"/>
    <w:rsid w:val="00EA3D3C"/>
    <w:rsid w:val="00EB1849"/>
    <w:rsid w:val="00EC28DF"/>
    <w:rsid w:val="00ED133B"/>
    <w:rsid w:val="00EE231A"/>
    <w:rsid w:val="00EE3459"/>
    <w:rsid w:val="00EF77F2"/>
    <w:rsid w:val="00F023BB"/>
    <w:rsid w:val="00F05308"/>
    <w:rsid w:val="00F14A36"/>
    <w:rsid w:val="00F33411"/>
    <w:rsid w:val="00F468E4"/>
    <w:rsid w:val="00F50F47"/>
    <w:rsid w:val="00F513B3"/>
    <w:rsid w:val="00F5148A"/>
    <w:rsid w:val="00F53BEC"/>
    <w:rsid w:val="00F62778"/>
    <w:rsid w:val="00F6440C"/>
    <w:rsid w:val="00F647E5"/>
    <w:rsid w:val="00F67875"/>
    <w:rsid w:val="00F75B3E"/>
    <w:rsid w:val="00F75BD7"/>
    <w:rsid w:val="00F8436B"/>
    <w:rsid w:val="00F91409"/>
    <w:rsid w:val="00FA7A57"/>
    <w:rsid w:val="00FA7D2E"/>
    <w:rsid w:val="00FB14D3"/>
    <w:rsid w:val="00FB22CA"/>
    <w:rsid w:val="00FC1345"/>
    <w:rsid w:val="00FD0ABB"/>
    <w:rsid w:val="00FE0A69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5D8F54-73E2-417A-9FF6-A98926E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E77E2"/>
    <w:rPr>
      <w:lang w:val="en-US" w:eastAsia="en-US"/>
    </w:rPr>
  </w:style>
  <w:style w:type="paragraph" w:styleId="Heading1">
    <w:name w:val="heading 1"/>
    <w:basedOn w:val="Normal"/>
    <w:next w:val="Normal"/>
    <w:qFormat/>
    <w:rsid w:val="007E77E2"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E77E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7E7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7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7E2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D6FEE"/>
  </w:style>
  <w:style w:type="character" w:styleId="PlaceholderText">
    <w:name w:val="Placeholder Tex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link w:val="Heading8"/>
    <w:rsid w:val="009819A5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hps">
    <w:name w:val="hps"/>
    <w:basedOn w:val="DefaultParagraphFont"/>
    <w:rsid w:val="005B7706"/>
  </w:style>
  <w:style w:type="character" w:customStyle="1" w:styleId="BodyTextIndentChar">
    <w:name w:val="Body Text Indent Char"/>
    <w:link w:val="BodyTextIndent"/>
    <w:rsid w:val="00565DBB"/>
    <w:rPr>
      <w:snapToGrid/>
      <w:sz w:val="24"/>
    </w:rPr>
  </w:style>
  <w:style w:type="paragraph" w:customStyle="1" w:styleId="CharChar">
    <w:name w:val="Char Char"/>
    <w:basedOn w:val="Normal"/>
    <w:rsid w:val="006265F5"/>
    <w:rPr>
      <w:rFonts w:ascii="Verdana" w:hAnsi="Verdana" w:cs="Verdana"/>
    </w:rPr>
  </w:style>
  <w:style w:type="character" w:styleId="CommentReference">
    <w:name w:val="annotation reference"/>
    <w:basedOn w:val="DefaultParagraphFont"/>
    <w:rsid w:val="00F843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36B"/>
  </w:style>
  <w:style w:type="character" w:customStyle="1" w:styleId="CommentTextChar">
    <w:name w:val="Comment Text Char"/>
    <w:basedOn w:val="DefaultParagraphFont"/>
    <w:link w:val="CommentText"/>
    <w:rsid w:val="00F8436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36B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0708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357D0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7D0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E35D72"/>
  </w:style>
  <w:style w:type="character" w:customStyle="1" w:styleId="EndnoteTextChar">
    <w:name w:val="Endnote Text Char"/>
    <w:basedOn w:val="DefaultParagraphFont"/>
    <w:link w:val="EndnoteText"/>
    <w:rsid w:val="00E35D72"/>
    <w:rPr>
      <w:lang w:val="en-US" w:eastAsia="en-US"/>
    </w:rPr>
  </w:style>
  <w:style w:type="character" w:styleId="EndnoteReference">
    <w:name w:val="endnote reference"/>
    <w:basedOn w:val="DefaultParagraphFont"/>
    <w:rsid w:val="00E35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DE52-2640-45DF-A468-1F924236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1930</CharactersWithSpaces>
  <SharedDoc>false</SharedDoc>
  <HLinks>
    <vt:vector size="30" baseType="variant">
      <vt:variant>
        <vt:i4>983084</vt:i4>
      </vt:variant>
      <vt:variant>
        <vt:i4>65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62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6946844</vt:i4>
      </vt:variant>
      <vt:variant>
        <vt:i4>59</vt:i4>
      </vt:variant>
      <vt:variant>
        <vt:i4>0</vt:i4>
      </vt:variant>
      <vt:variant>
        <vt:i4>5</vt:i4>
      </vt:variant>
      <vt:variant>
        <vt:lpwstr>mailto:jana.midoni@undp.org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Mihail Maciuca</cp:lastModifiedBy>
  <cp:revision>4</cp:revision>
  <cp:lastPrinted>2014-09-22T13:48:00Z</cp:lastPrinted>
  <dcterms:created xsi:type="dcterms:W3CDTF">2015-04-01T08:45:00Z</dcterms:created>
  <dcterms:modified xsi:type="dcterms:W3CDTF">2017-02-14T14:58:00Z</dcterms:modified>
</cp:coreProperties>
</file>