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0" w:rsidRPr="00583897" w:rsidRDefault="007D3700" w:rsidP="007D3700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 w:rsidRPr="00583897"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</w:p>
    <w:p w:rsidR="007D3700" w:rsidRPr="00583897" w:rsidRDefault="007D3700" w:rsidP="007D3700">
      <w:pPr>
        <w:spacing w:before="120"/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 w:rsidRPr="00583897">
        <w:rPr>
          <w:rFonts w:ascii="Myriad Pro" w:hAnsi="Myriad Pro" w:cs="Calibri"/>
          <w:b/>
          <w:sz w:val="22"/>
          <w:szCs w:val="22"/>
          <w:lang w:val="ru-RU"/>
        </w:rPr>
        <w:t>ФОРМА ДЛЯ ПРЕДСТАВЛЕНИЯ КОММЕРЧЕСКОГО ПРЕДЛОЖЕНИЯ</w:t>
      </w:r>
      <w:r w:rsidRPr="00583897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:rsidR="007D3700" w:rsidRPr="00583897" w:rsidRDefault="007D3700" w:rsidP="007D3700">
      <w:pPr>
        <w:jc w:val="center"/>
        <w:rPr>
          <w:rFonts w:ascii="Myriad Pro" w:hAnsi="Myriad Pro" w:cs="Calibri"/>
          <w:b/>
          <w:i/>
          <w:sz w:val="22"/>
          <w:szCs w:val="22"/>
          <w:lang w:val="ru-RU"/>
        </w:rPr>
      </w:pPr>
      <w:r w:rsidRPr="00583897">
        <w:rPr>
          <w:rFonts w:ascii="Myriad Pro" w:hAnsi="Myriad Pro" w:cs="Calibri"/>
          <w:b/>
          <w:i/>
          <w:sz w:val="22"/>
          <w:szCs w:val="22"/>
          <w:lang w:val="ru-RU"/>
        </w:rPr>
        <w:t>(Настоящая форма должна быть представлена только на бумаге с официальным логотипом фирмы</w:t>
      </w:r>
      <w:r w:rsidRPr="00583897">
        <w:rPr>
          <w:rStyle w:val="FootnoteReference"/>
          <w:rFonts w:ascii="Myriad Pro" w:hAnsi="Myriad Pro" w:cs="Calibri"/>
          <w:b/>
          <w:i/>
          <w:sz w:val="22"/>
          <w:szCs w:val="22"/>
        </w:rPr>
        <w:footnoteReference w:id="2"/>
      </w:r>
      <w:r w:rsidRPr="00583897">
        <w:rPr>
          <w:rFonts w:ascii="Myriad Pro" w:hAnsi="Myriad Pro" w:cs="Calibri"/>
          <w:b/>
          <w:i/>
          <w:sz w:val="22"/>
          <w:szCs w:val="22"/>
          <w:lang w:val="ru-RU"/>
        </w:rPr>
        <w:t>)</w:t>
      </w:r>
    </w:p>
    <w:p w:rsidR="007D3700" w:rsidRPr="00583897" w:rsidRDefault="007D3700" w:rsidP="007D3700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</w:p>
    <w:p w:rsidR="007D3700" w:rsidRPr="00583897" w:rsidRDefault="007D3700" w:rsidP="007D3700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583897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Мы, нижеподписавшиеся, настоящим полностью признаем Общие требования и условия ПРООН и представляем коммерческое предложение о выполнении нижеперечисленного в соответствии с техническими требованиями ПРООН, согласно Запросу на коммерческие предложения </w:t>
      </w:r>
      <w:r w:rsidRPr="00AC0748">
        <w:rPr>
          <w:rFonts w:ascii="Myriad Pro" w:hAnsi="Myriad Pro" w:cs="Calibri"/>
          <w:snapToGrid w:val="0"/>
          <w:sz w:val="22"/>
          <w:szCs w:val="22"/>
          <w:lang w:val="ru-RU"/>
        </w:rPr>
        <w:t xml:space="preserve">№ </w:t>
      </w:r>
      <w:proofErr w:type="spellStart"/>
      <w:r w:rsidRPr="00AC0748">
        <w:rPr>
          <w:rFonts w:ascii="Myriad Pro" w:hAnsi="Myriad Pro" w:cs="Calibri"/>
          <w:b/>
          <w:snapToGrid w:val="0"/>
          <w:sz w:val="22"/>
          <w:szCs w:val="22"/>
          <w:lang w:val="en-GB"/>
        </w:rPr>
        <w:t>RfQ</w:t>
      </w:r>
      <w:proofErr w:type="spellEnd"/>
      <w:r w:rsidRPr="00E020AF">
        <w:rPr>
          <w:rFonts w:ascii="Myriad Pro" w:hAnsi="Myriad Pro" w:cs="Calibri"/>
          <w:b/>
          <w:snapToGrid w:val="0"/>
          <w:sz w:val="22"/>
          <w:szCs w:val="22"/>
          <w:lang w:val="ru-RU"/>
        </w:rPr>
        <w:t>17/01474</w:t>
      </w:r>
      <w:r w:rsidRPr="00583897">
        <w:rPr>
          <w:rFonts w:ascii="Myriad Pro" w:hAnsi="Myriad Pro" w:cs="Calibri"/>
          <w:snapToGrid w:val="0"/>
          <w:sz w:val="22"/>
          <w:szCs w:val="22"/>
          <w:lang w:val="ru-RU"/>
        </w:rPr>
        <w:t>:</w:t>
      </w:r>
    </w:p>
    <w:p w:rsidR="007D3700" w:rsidRPr="00583897" w:rsidRDefault="007D3700" w:rsidP="007D3700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</w:pPr>
    </w:p>
    <w:p w:rsidR="007D3700" w:rsidRPr="00583897" w:rsidRDefault="007D3700" w:rsidP="007D3700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</w:pPr>
      <w:r w:rsidRPr="00583897"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  <w:t xml:space="preserve">ТАБЛИЦА 1 :  Предложение о выполнении позиций согласно Техническим требованиям </w:t>
      </w:r>
    </w:p>
    <w:p w:rsidR="007D3700" w:rsidRPr="00583897" w:rsidRDefault="007D3700" w:rsidP="007D3700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  <w:lang w:val="ru-RU"/>
        </w:rPr>
      </w:pPr>
    </w:p>
    <w:tbl>
      <w:tblPr>
        <w:tblW w:w="10611" w:type="dxa"/>
        <w:tblInd w:w="-550" w:type="dxa"/>
        <w:tblLook w:val="04A0" w:firstRow="1" w:lastRow="0" w:firstColumn="1" w:lastColumn="0" w:noHBand="0" w:noVBand="1"/>
      </w:tblPr>
      <w:tblGrid>
        <w:gridCol w:w="530"/>
        <w:gridCol w:w="6040"/>
        <w:gridCol w:w="1333"/>
        <w:gridCol w:w="1327"/>
        <w:gridCol w:w="1420"/>
      </w:tblGrid>
      <w:tr w:rsidR="007D3700" w:rsidRPr="00583897" w:rsidTr="007118F9">
        <w:trPr>
          <w:trHeight w:val="6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№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Виды работ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Количество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Стоимость единицы</w:t>
            </w: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  <w:t>**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Стоимость</w:t>
            </w: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  <w:t>**</w:t>
            </w:r>
          </w:p>
        </w:tc>
      </w:tr>
      <w:tr w:rsidR="007D3700" w:rsidRPr="00583897" w:rsidTr="007118F9">
        <w:trPr>
          <w:trHeight w:val="36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00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  <w:t>Проектные работы по дому культуры Карманова (600 посадочных мест.) *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ОВ (отопление и вентиляция)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ВК (водопровод и канализация)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НВК (наружний водопровод и канализация длина водопровода до 250м)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устроиство выгребной ямы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2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  <w:t>Выполнить топографо-геодезические изыскания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7D3700" w:rsidRPr="00583897" w:rsidTr="007118F9">
        <w:trPr>
          <w:trHeight w:val="16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  <w:t>Другие расходы (при необходимости)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7938A6" w:rsidTr="007118F9">
        <w:trPr>
          <w:trHeight w:val="386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o-RO" w:eastAsia="ro-RO"/>
              </w:rPr>
              <w:t>Всего проектные работы по дому культуры Карманова (600 посадочных мест.)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7938A6" w:rsidTr="007118F9">
        <w:trPr>
          <w:trHeight w:val="38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100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b/>
                <w:bCs/>
                <w:color w:val="000000"/>
                <w:sz w:val="22"/>
                <w:szCs w:val="22"/>
                <w:lang w:val="ro-RO" w:eastAsia="ro-RO"/>
              </w:rPr>
              <w:t>Проектные работы по котельной производительностью до 0,2 Гкал/ч *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АР (архитектурные решения)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ТМ (автоматизация тепломеханических установок)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АТМ (автоматика тепло-механике)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ГСВ (газоснабжение,внутренние сети 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ЭС (электроснабжение)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СС (связь и сигнализация)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ОВ (отопление и вентиляция)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ВК (водопровод и вентиляция)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НГСВ (длина газопровода до 150м) (наружние сети газоснабжения)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Выполнить Раздел охрана окружающей среды (2 источника выброса)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1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D370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2"/>
              <w:rPr>
                <w:rFonts w:ascii="Myriad Pro" w:hAnsi="Myriad Pro"/>
                <w:color w:val="000000"/>
                <w:szCs w:val="22"/>
                <w:lang w:val="ro-RO" w:eastAsia="ro-RO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u-RU" w:eastAsia="ro-RO"/>
              </w:rPr>
              <w:t>Другие расходы (при необходимости)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7938A6" w:rsidTr="007118F9">
        <w:trPr>
          <w:trHeight w:val="440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o-RO" w:eastAsia="ro-RO"/>
              </w:rPr>
              <w:t>Всего проектные роботы по котельно</w:t>
            </w:r>
            <w:r w:rsidRPr="00583897"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u-RU" w:eastAsia="ro-RO"/>
              </w:rPr>
              <w:t>й</w:t>
            </w:r>
            <w:r w:rsidRPr="00583897"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o-RO" w:eastAsia="ro-RO"/>
              </w:rPr>
              <w:t xml:space="preserve"> производительностю до 0,2 Гкал/ч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  <w:r w:rsidRPr="00583897"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  <w:tr w:rsidR="007D3700" w:rsidRPr="00583897" w:rsidTr="007118F9">
        <w:trPr>
          <w:trHeight w:val="440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00" w:rsidRPr="00583897" w:rsidRDefault="007D3700" w:rsidP="007118F9">
            <w:pPr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u-RU" w:eastAsia="ro-RO"/>
              </w:rPr>
            </w:pPr>
            <w:r w:rsidRPr="00583897">
              <w:rPr>
                <w:rFonts w:ascii="Myriad Pro" w:hAnsi="Myriad Pro"/>
                <w:b/>
                <w:bCs/>
                <w:i/>
                <w:color w:val="000000"/>
                <w:sz w:val="22"/>
                <w:szCs w:val="22"/>
                <w:lang w:val="ru-RU" w:eastAsia="ro-RO"/>
              </w:rPr>
              <w:t>ВСЕГО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00" w:rsidRPr="00583897" w:rsidRDefault="007D3700" w:rsidP="007118F9">
            <w:pPr>
              <w:rPr>
                <w:rFonts w:ascii="Myriad Pro" w:hAnsi="Myriad Pro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:rsidR="007D3700" w:rsidRPr="00583897" w:rsidRDefault="007D3700" w:rsidP="007D3700">
      <w:pPr>
        <w:ind w:left="360" w:right="-441" w:hanging="360"/>
        <w:jc w:val="both"/>
        <w:rPr>
          <w:rFonts w:ascii="Myriad Pro" w:hAnsi="Myriad Pro"/>
          <w:b/>
          <w:color w:val="000000"/>
          <w:sz w:val="22"/>
          <w:szCs w:val="22"/>
          <w:lang w:val="ru-RU" w:eastAsia="ro-RO"/>
        </w:rPr>
      </w:pPr>
      <w:r w:rsidRPr="00583897">
        <w:rPr>
          <w:rFonts w:ascii="Myriad Pro" w:hAnsi="Myriad Pro" w:cs="Calibri"/>
          <w:b/>
          <w:snapToGrid w:val="0"/>
          <w:sz w:val="22"/>
          <w:szCs w:val="22"/>
          <w:lang w:val="ru-RU"/>
        </w:rPr>
        <w:t xml:space="preserve">*) </w:t>
      </w:r>
      <w:r w:rsidRPr="00583897">
        <w:rPr>
          <w:rFonts w:ascii="Myriad Pro" w:hAnsi="Myriad Pro"/>
          <w:b/>
          <w:color w:val="000000"/>
          <w:sz w:val="22"/>
          <w:szCs w:val="22"/>
          <w:lang w:val="ru-RU" w:eastAsia="ro-RO"/>
        </w:rPr>
        <w:t>В случае отсутствия необходимого раздела, Заявитель обязан предусмотреть все затраты для выполнения данной проектной документации</w:t>
      </w:r>
    </w:p>
    <w:p w:rsidR="007D3700" w:rsidRPr="00583897" w:rsidRDefault="007D3700" w:rsidP="007D3700">
      <w:pPr>
        <w:ind w:left="360" w:right="-441" w:hanging="36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</w:pPr>
      <w:r w:rsidRPr="00583897">
        <w:rPr>
          <w:rFonts w:ascii="Myriad Pro" w:hAnsi="Myriad Pro" w:cs="Calibri"/>
          <w:b/>
          <w:snapToGrid w:val="0"/>
          <w:sz w:val="22"/>
          <w:szCs w:val="22"/>
          <w:lang w:val="ru-RU"/>
        </w:rPr>
        <w:t xml:space="preserve">**) </w:t>
      </w:r>
      <w:r w:rsidRPr="00583897">
        <w:rPr>
          <w:rFonts w:ascii="Myriad Pro" w:hAnsi="Myriad Pro"/>
          <w:b/>
          <w:color w:val="000000"/>
          <w:sz w:val="22"/>
          <w:szCs w:val="22"/>
          <w:lang w:val="ru-RU" w:eastAsia="ro-RO"/>
        </w:rPr>
        <w:t>При составлении коммерческого предложения Заявитель должен учесть все косвенные затраты: транспортировка, связи и коммуникация и т.д.</w:t>
      </w:r>
    </w:p>
    <w:p w:rsidR="007D3700" w:rsidRDefault="007D3700" w:rsidP="007D3700">
      <w:pPr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</w:pPr>
    </w:p>
    <w:p w:rsidR="007D3700" w:rsidRPr="00583897" w:rsidRDefault="007D3700" w:rsidP="007D3700">
      <w:pPr>
        <w:rPr>
          <w:rFonts w:ascii="Myriad Pro" w:hAnsi="Myriad Pro" w:cs="Calibri"/>
          <w:b/>
          <w:sz w:val="22"/>
          <w:szCs w:val="22"/>
          <w:u w:val="single"/>
          <w:lang w:val="ru-RU"/>
        </w:rPr>
      </w:pPr>
      <w:r w:rsidRPr="00583897">
        <w:rPr>
          <w:rFonts w:ascii="Myriad Pro" w:hAnsi="Myriad Pro" w:cs="Calibri"/>
          <w:b/>
          <w:sz w:val="22"/>
          <w:szCs w:val="22"/>
          <w:u w:val="single"/>
          <w:lang w:val="ru-RU"/>
        </w:rPr>
        <w:t xml:space="preserve">ТАБЛИЦА 2 : Предложения о соответствии другим условиям и сопутствующим требованиям </w:t>
      </w:r>
    </w:p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7D3700" w:rsidRPr="00583897" w:rsidTr="007118F9">
        <w:trPr>
          <w:trHeight w:val="383"/>
        </w:trPr>
        <w:tc>
          <w:tcPr>
            <w:tcW w:w="4140" w:type="dxa"/>
            <w:vMerge w:val="restart"/>
          </w:tcPr>
          <w:p w:rsidR="007D3700" w:rsidRPr="00583897" w:rsidRDefault="007D3700" w:rsidP="007118F9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</w:p>
          <w:p w:rsidR="007D3700" w:rsidRPr="00583897" w:rsidRDefault="007D3700" w:rsidP="007118F9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Другие сведения, касающиеся нашего коммерческого предложения:</w:t>
            </w:r>
          </w:p>
        </w:tc>
        <w:tc>
          <w:tcPr>
            <w:tcW w:w="5310" w:type="dxa"/>
            <w:gridSpan w:val="3"/>
          </w:tcPr>
          <w:p w:rsidR="007D3700" w:rsidRPr="00583897" w:rsidRDefault="007D3700" w:rsidP="007118F9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</w:p>
          <w:p w:rsidR="007D3700" w:rsidRPr="00583897" w:rsidRDefault="007D3700" w:rsidP="007118F9">
            <w:pPr>
              <w:jc w:val="center"/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Ваши ответы</w:t>
            </w:r>
          </w:p>
        </w:tc>
      </w:tr>
      <w:tr w:rsidR="007D3700" w:rsidRPr="007938A6" w:rsidTr="007118F9">
        <w:trPr>
          <w:trHeight w:val="382"/>
        </w:trPr>
        <w:tc>
          <w:tcPr>
            <w:tcW w:w="4140" w:type="dxa"/>
            <w:vMerge/>
          </w:tcPr>
          <w:p w:rsidR="007D3700" w:rsidRPr="00583897" w:rsidRDefault="007D3700" w:rsidP="007118F9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D3700" w:rsidRPr="00583897" w:rsidRDefault="007D3700" w:rsidP="007118F9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 xml:space="preserve">Да, мы будем соответствовать </w:t>
            </w:r>
          </w:p>
        </w:tc>
        <w:tc>
          <w:tcPr>
            <w:tcW w:w="1620" w:type="dxa"/>
          </w:tcPr>
          <w:p w:rsidR="007D3700" w:rsidRPr="00583897" w:rsidRDefault="007D3700" w:rsidP="007118F9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>Нет, мы не можем соответствовать</w:t>
            </w:r>
          </w:p>
        </w:tc>
        <w:tc>
          <w:tcPr>
            <w:tcW w:w="2340" w:type="dxa"/>
          </w:tcPr>
          <w:p w:rsidR="007D3700" w:rsidRPr="00583897" w:rsidRDefault="007D3700" w:rsidP="007118F9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 xml:space="preserve">Если вы не можете соответствовать, пожалуйста, сделайте встречное предложение </w:t>
            </w:r>
          </w:p>
        </w:tc>
      </w:tr>
      <w:tr w:rsidR="007D3700" w:rsidRPr="007938A6" w:rsidTr="007118F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7D3700" w:rsidRPr="00583897" w:rsidRDefault="007D3700" w:rsidP="007118F9">
            <w:pP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 xml:space="preserve">Работа будет выполнена в срок не более 45 календарных дней со дня подписания контракта о закупке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7D3700" w:rsidRPr="007938A6" w:rsidTr="007118F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7D3700" w:rsidRPr="00583897" w:rsidRDefault="007D3700" w:rsidP="007118F9">
            <w:pP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 w:rsidRPr="00583897"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 xml:space="preserve">Коммерческое предложение остается действительным в течение не менее 60 календарных дней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7D3700" w:rsidRPr="007938A6" w:rsidTr="007118F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7D3700" w:rsidRPr="00583897" w:rsidRDefault="007D3700" w:rsidP="007118F9">
            <w:pP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>Принимаем в</w:t>
            </w:r>
            <w:r w:rsidRPr="00583897"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 xml:space="preserve">се положения Общих условий ПРООН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7D3700" w:rsidRPr="007938A6" w:rsidTr="007118F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7D3700" w:rsidRDefault="007D3700" w:rsidP="007118F9">
            <w:pP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 xml:space="preserve">Обязуемся </w:t>
            </w:r>
            <w:r w:rsidRPr="00732A82"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>соблюдать специальное условие о возмещении убытков</w:t>
            </w:r>
            <w: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 xml:space="preserve"> (неустойка в размере </w:t>
            </w:r>
            <w:r w:rsidRPr="00583897">
              <w:rPr>
                <w:rFonts w:ascii="Myriad Pro" w:hAnsi="Myriad Pro" w:cs="Calibri"/>
                <w:sz w:val="22"/>
                <w:szCs w:val="22"/>
                <w:lang w:val="ru-RU"/>
              </w:rPr>
              <w:t>0.</w:t>
            </w:r>
            <w:r w:rsidRPr="00A702C3">
              <w:rPr>
                <w:rFonts w:ascii="Myriad Pro" w:hAnsi="Myriad Pro" w:cs="Calibri"/>
                <w:sz w:val="22"/>
                <w:szCs w:val="22"/>
                <w:lang w:val="ru-RU"/>
              </w:rPr>
              <w:t>3</w:t>
            </w:r>
            <w:r w:rsidRPr="00583897">
              <w:rPr>
                <w:rFonts w:ascii="Myriad Pro" w:hAnsi="Myriad Pro" w:cs="Calibri"/>
                <w:sz w:val="22"/>
                <w:szCs w:val="22"/>
                <w:lang w:val="ru-RU"/>
              </w:rPr>
              <w:t>% от суммы контракта за каждый день просрочки, максимум до 1 календарного месяца</w:t>
            </w:r>
            <w: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00" w:rsidRPr="00583897" w:rsidRDefault="007D3700" w:rsidP="007118F9">
            <w:pPr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</w:tbl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p w:rsidR="007D3700" w:rsidRPr="00583897" w:rsidRDefault="007D3700" w:rsidP="007D3700">
      <w:pPr>
        <w:ind w:firstLine="720"/>
        <w:jc w:val="both"/>
        <w:rPr>
          <w:rFonts w:ascii="Myriad Pro" w:hAnsi="Myriad Pro" w:cs="Calibri"/>
          <w:sz w:val="22"/>
          <w:szCs w:val="22"/>
          <w:lang w:val="ru-RU"/>
        </w:rPr>
      </w:pPr>
      <w:r w:rsidRPr="00583897">
        <w:rPr>
          <w:rFonts w:ascii="Myriad Pro" w:hAnsi="Myriad Pro" w:cs="Calibri"/>
          <w:sz w:val="22"/>
          <w:szCs w:val="22"/>
          <w:lang w:val="ru-RU"/>
        </w:rPr>
        <w:t xml:space="preserve">Все остальные сведения, которые мы не предоставили, автоматически означают, что мы полностью соответствуем требованиям и условиям Запроса на коммерческие предложения. </w:t>
      </w:r>
    </w:p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p w:rsidR="007D3700" w:rsidRPr="00583897" w:rsidRDefault="007D3700" w:rsidP="007D3700">
      <w:pPr>
        <w:rPr>
          <w:rFonts w:ascii="Myriad Pro" w:hAnsi="Myriad Pro" w:cs="Calibri"/>
          <w:sz w:val="22"/>
          <w:szCs w:val="22"/>
          <w:lang w:val="ru-RU"/>
        </w:rPr>
      </w:pPr>
    </w:p>
    <w:p w:rsidR="007D3700" w:rsidRPr="00583897" w:rsidRDefault="007D3700" w:rsidP="007D3700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583897">
        <w:rPr>
          <w:rFonts w:ascii="Myriad Pro" w:hAnsi="Myriad Pro" w:cs="Calibri"/>
          <w:i/>
          <w:sz w:val="22"/>
          <w:szCs w:val="22"/>
          <w:lang w:val="ru-RU"/>
        </w:rPr>
        <w:t>[Имя и подпись уполномоченного лица со стороны фирмы-поставщика]</w:t>
      </w:r>
    </w:p>
    <w:p w:rsidR="007D3700" w:rsidRPr="00583897" w:rsidRDefault="007D3700" w:rsidP="007D3700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583897">
        <w:rPr>
          <w:rFonts w:ascii="Myriad Pro" w:hAnsi="Myriad Pro" w:cs="Calibri"/>
          <w:i/>
          <w:sz w:val="22"/>
          <w:szCs w:val="22"/>
          <w:lang w:val="ru-RU"/>
        </w:rPr>
        <w:t>[Должность]</w:t>
      </w:r>
    </w:p>
    <w:p w:rsidR="007D3700" w:rsidRPr="00583897" w:rsidRDefault="007D3700" w:rsidP="007D3700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583897">
        <w:rPr>
          <w:rFonts w:ascii="Myriad Pro" w:hAnsi="Myriad Pro" w:cs="Calibri"/>
          <w:i/>
          <w:sz w:val="22"/>
          <w:szCs w:val="22"/>
          <w:lang w:val="ru-RU"/>
        </w:rPr>
        <w:t>[Дата]</w:t>
      </w:r>
    </w:p>
    <w:p w:rsidR="00D60549" w:rsidRPr="007D3700" w:rsidRDefault="00D60549">
      <w:pPr>
        <w:rPr>
          <w:b/>
        </w:rPr>
      </w:pPr>
      <w:bookmarkStart w:id="0" w:name="_GoBack"/>
      <w:bookmarkEnd w:id="0"/>
    </w:p>
    <w:sectPr w:rsidR="00D60549" w:rsidRPr="007D3700" w:rsidSect="007D3700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EC" w:rsidRDefault="00157CEC" w:rsidP="007D3700">
      <w:r>
        <w:separator/>
      </w:r>
    </w:p>
  </w:endnote>
  <w:endnote w:type="continuationSeparator" w:id="0">
    <w:p w:rsidR="00157CEC" w:rsidRDefault="00157CEC" w:rsidP="007D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EC" w:rsidRDefault="00157CEC" w:rsidP="007D3700">
      <w:r>
        <w:separator/>
      </w:r>
    </w:p>
  </w:footnote>
  <w:footnote w:type="continuationSeparator" w:id="0">
    <w:p w:rsidR="00157CEC" w:rsidRDefault="00157CEC" w:rsidP="007D3700">
      <w:r>
        <w:continuationSeparator/>
      </w:r>
    </w:p>
  </w:footnote>
  <w:footnote w:id="1">
    <w:p w:rsidR="007D3700" w:rsidRPr="00F4081F" w:rsidRDefault="007D3700" w:rsidP="007D3700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F4081F">
        <w:rPr>
          <w:lang w:val="ru-RU"/>
        </w:rPr>
        <w:t xml:space="preserve"> </w:t>
      </w:r>
      <w:r>
        <w:rPr>
          <w:i/>
          <w:lang w:val="ru-RU"/>
        </w:rPr>
        <w:t>Служит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руководством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фирмы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подготовке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коммерческого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перечня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цен</w:t>
      </w:r>
      <w:r w:rsidRPr="00F4081F">
        <w:rPr>
          <w:i/>
          <w:snapToGrid w:val="0"/>
          <w:lang w:val="ru-RU"/>
        </w:rPr>
        <w:t xml:space="preserve">. </w:t>
      </w:r>
    </w:p>
  </w:footnote>
  <w:footnote w:id="2">
    <w:p w:rsidR="007D3700" w:rsidRPr="00F4081F" w:rsidRDefault="007D3700" w:rsidP="007D3700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Логотип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должен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содержать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контактные</w:t>
      </w:r>
      <w:r w:rsidRPr="00F4081F">
        <w:rPr>
          <w:i/>
          <w:lang w:val="ru-RU"/>
        </w:rPr>
        <w:t xml:space="preserve"> </w:t>
      </w:r>
      <w:r>
        <w:rPr>
          <w:i/>
          <w:lang w:val="ru-RU"/>
        </w:rPr>
        <w:t>данные</w:t>
      </w:r>
      <w:r w:rsidRPr="00F4081F">
        <w:rPr>
          <w:i/>
          <w:lang w:val="ru-RU"/>
        </w:rPr>
        <w:t xml:space="preserve"> – </w:t>
      </w:r>
      <w:r>
        <w:rPr>
          <w:i/>
          <w:lang w:val="ru-RU"/>
        </w:rPr>
        <w:t>адреса, электронную почту, номер телефона и факса (в целях проверки).</w:t>
      </w:r>
      <w:r w:rsidRPr="00F4081F">
        <w:rPr>
          <w:i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EFA"/>
    <w:multiLevelType w:val="hybridMultilevel"/>
    <w:tmpl w:val="9DDEEAE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217"/>
    <w:multiLevelType w:val="hybridMultilevel"/>
    <w:tmpl w:val="1ADCB04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0"/>
    <w:rsid w:val="00157CEC"/>
    <w:rsid w:val="007D3700"/>
    <w:rsid w:val="00D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B05C3-B860-4704-8686-FD4F345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D37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D3700"/>
  </w:style>
  <w:style w:type="character" w:customStyle="1" w:styleId="FootnoteTextChar">
    <w:name w:val="Footnote Text Char"/>
    <w:basedOn w:val="DefaultParagraphFont"/>
    <w:link w:val="FootnoteText"/>
    <w:uiPriority w:val="99"/>
    <w:rsid w:val="007D370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D370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Nebieridze</dc:creator>
  <cp:keywords/>
  <dc:description/>
  <cp:lastModifiedBy>Nino Nebieridze</cp:lastModifiedBy>
  <cp:revision>1</cp:revision>
  <dcterms:created xsi:type="dcterms:W3CDTF">2017-03-21T09:32:00Z</dcterms:created>
  <dcterms:modified xsi:type="dcterms:W3CDTF">2017-03-21T09:33:00Z</dcterms:modified>
</cp:coreProperties>
</file>