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0227" w:type="dxa"/>
        <w:tblLayout w:type="fixed"/>
        <w:tblLook w:val="04A0" w:firstRow="1" w:lastRow="0" w:firstColumn="1" w:lastColumn="0" w:noHBand="0" w:noVBand="1"/>
      </w:tblPr>
      <w:tblGrid>
        <w:gridCol w:w="2610"/>
        <w:gridCol w:w="5940"/>
        <w:gridCol w:w="1677"/>
      </w:tblGrid>
      <w:tr w:rsidR="000A5D63" w:rsidRPr="00CC7B63" w14:paraId="40BC038A" w14:textId="77777777" w:rsidTr="009A6605">
        <w:trPr>
          <w:trHeight w:val="1233"/>
        </w:trPr>
        <w:tc>
          <w:tcPr>
            <w:tcW w:w="2610" w:type="dxa"/>
          </w:tcPr>
          <w:p w14:paraId="435870E3" w14:textId="77777777" w:rsidR="000A5D63" w:rsidRPr="00CC7B63" w:rsidRDefault="009A6605" w:rsidP="00CC7B63">
            <w:pPr>
              <w:spacing w:after="0" w:line="288" w:lineRule="auto"/>
              <w:rPr>
                <w:rFonts w:ascii="Myriad Pro" w:hAnsi="Myriad Pro" w:cs="Tahoma"/>
                <w:b/>
                <w:lang w:val="en-GB"/>
              </w:rPr>
            </w:pPr>
            <w:r w:rsidRPr="00CC7B63">
              <w:rPr>
                <w:rFonts w:ascii="Myriad Pro" w:hAnsi="Myriad Pro" w:cs="Tahoma"/>
                <w:b/>
                <w:noProof/>
                <w:lang w:val="en-US"/>
              </w:rPr>
              <w:drawing>
                <wp:inline distT="0" distB="0" distL="0" distR="0" wp14:anchorId="517E07A6" wp14:editId="6AF85421">
                  <wp:extent cx="13144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2EF7D39" w14:textId="77777777" w:rsidR="000A5D63" w:rsidRPr="00CC7B63" w:rsidRDefault="000A5D63" w:rsidP="00CC7B63">
            <w:pPr>
              <w:pStyle w:val="Header"/>
              <w:tabs>
                <w:tab w:val="right" w:pos="8364"/>
              </w:tabs>
              <w:spacing w:line="288" w:lineRule="auto"/>
              <w:jc w:val="center"/>
              <w:rPr>
                <w:rFonts w:ascii="Myriad Pro" w:hAnsi="Myriad Pro" w:cs="Tahoma"/>
                <w:b/>
                <w:sz w:val="18"/>
                <w:szCs w:val="18"/>
                <w:lang w:val="en-GB"/>
              </w:rPr>
            </w:pPr>
            <w:r w:rsidRPr="00CC7B63">
              <w:rPr>
                <w:rFonts w:ascii="Myriad Pro" w:hAnsi="Myriad Pro" w:cs="Tahoma"/>
                <w:b/>
                <w:sz w:val="18"/>
                <w:szCs w:val="18"/>
                <w:lang w:val="en-GB"/>
              </w:rPr>
              <w:t>This programme is funded by the European Union,</w:t>
            </w:r>
          </w:p>
          <w:p w14:paraId="28A3B57F" w14:textId="77777777" w:rsidR="000A5D63" w:rsidRPr="00CC7B63" w:rsidRDefault="000A5D63" w:rsidP="00CC7B63">
            <w:pPr>
              <w:pStyle w:val="Header"/>
              <w:tabs>
                <w:tab w:val="right" w:pos="8364"/>
              </w:tabs>
              <w:spacing w:line="288" w:lineRule="auto"/>
              <w:jc w:val="center"/>
              <w:rPr>
                <w:rFonts w:ascii="Myriad Pro" w:hAnsi="Myriad Pro" w:cs="Tahoma"/>
                <w:b/>
                <w:sz w:val="18"/>
                <w:szCs w:val="18"/>
                <w:lang w:val="en-GB"/>
              </w:rPr>
            </w:pPr>
            <w:r w:rsidRPr="00CC7B63">
              <w:rPr>
                <w:rFonts w:ascii="Myriad Pro" w:hAnsi="Myriad Pro" w:cs="Tahoma"/>
                <w:b/>
                <w:sz w:val="18"/>
                <w:szCs w:val="18"/>
                <w:lang w:val="en-GB"/>
              </w:rPr>
              <w:t>co-funded and implemented by the</w:t>
            </w:r>
          </w:p>
          <w:p w14:paraId="2B768F0C" w14:textId="77777777" w:rsidR="000A5D63" w:rsidRPr="00CC7B63" w:rsidRDefault="000A5D63" w:rsidP="00CC7B63">
            <w:pPr>
              <w:pStyle w:val="Header"/>
              <w:tabs>
                <w:tab w:val="right" w:pos="8364"/>
              </w:tabs>
              <w:spacing w:line="288" w:lineRule="auto"/>
              <w:jc w:val="center"/>
              <w:rPr>
                <w:rFonts w:ascii="Myriad Pro" w:hAnsi="Myriad Pro" w:cs="Tahoma"/>
                <w:b/>
                <w:sz w:val="18"/>
                <w:szCs w:val="18"/>
                <w:lang w:val="en-GB"/>
              </w:rPr>
            </w:pPr>
            <w:r w:rsidRPr="00CC7B63">
              <w:rPr>
                <w:rFonts w:ascii="Myriad Pro" w:hAnsi="Myriad Pro" w:cs="Tahoma"/>
                <w:b/>
                <w:sz w:val="18"/>
                <w:szCs w:val="18"/>
                <w:lang w:val="en-GB"/>
              </w:rPr>
              <w:t>United Nations Development Programme</w:t>
            </w:r>
          </w:p>
          <w:p w14:paraId="7E5A84E4" w14:textId="77777777" w:rsidR="000A5D63" w:rsidRPr="00CC7B63" w:rsidRDefault="000A5D63" w:rsidP="00CC7B63">
            <w:pPr>
              <w:pStyle w:val="Header"/>
              <w:tabs>
                <w:tab w:val="right" w:pos="8364"/>
              </w:tabs>
              <w:spacing w:line="288" w:lineRule="auto"/>
              <w:jc w:val="center"/>
              <w:rPr>
                <w:rFonts w:ascii="Myriad Pro" w:hAnsi="Myriad Pro" w:cs="Tahoma"/>
                <w:sz w:val="16"/>
                <w:szCs w:val="16"/>
                <w:lang w:val="en-GB"/>
              </w:rPr>
            </w:pPr>
          </w:p>
          <w:p w14:paraId="71A90E3E" w14:textId="77777777" w:rsidR="000A5D63" w:rsidRPr="00CC7B63" w:rsidRDefault="000A5D63" w:rsidP="00CC7B63">
            <w:pPr>
              <w:pStyle w:val="Header"/>
              <w:tabs>
                <w:tab w:val="right" w:pos="8364"/>
              </w:tabs>
              <w:spacing w:line="288" w:lineRule="auto"/>
              <w:jc w:val="center"/>
              <w:rPr>
                <w:rFonts w:ascii="Myriad Pro" w:hAnsi="Myriad Pro" w:cs="Tahoma"/>
                <w:sz w:val="18"/>
                <w:szCs w:val="18"/>
                <w:lang w:val="en-GB"/>
              </w:rPr>
            </w:pPr>
            <w:r w:rsidRPr="00CC7B63">
              <w:rPr>
                <w:rFonts w:ascii="Myriad Pro" w:hAnsi="Myriad Pro" w:cs="Tahoma"/>
                <w:sz w:val="18"/>
                <w:szCs w:val="18"/>
                <w:lang w:val="en-GB"/>
              </w:rPr>
              <w:t>Support to Confidence Building Measures</w:t>
            </w:r>
          </w:p>
          <w:p w14:paraId="7D94649E" w14:textId="77777777" w:rsidR="000A5D63" w:rsidRPr="00CC7B63" w:rsidRDefault="000A5D63" w:rsidP="00CC7B63">
            <w:pPr>
              <w:pStyle w:val="NoSpacing"/>
              <w:spacing w:line="288" w:lineRule="auto"/>
              <w:jc w:val="center"/>
              <w:rPr>
                <w:rFonts w:ascii="Myriad Pro" w:hAnsi="Myriad Pro" w:cs="Tahoma"/>
                <w:sz w:val="18"/>
                <w:szCs w:val="18"/>
                <w:lang w:val="en-GB"/>
              </w:rPr>
            </w:pPr>
            <w:r w:rsidRPr="00CC7B63">
              <w:rPr>
                <w:rFonts w:ascii="Myriad Pro" w:hAnsi="Myriad Pro" w:cs="Tahoma"/>
                <w:sz w:val="18"/>
                <w:szCs w:val="18"/>
                <w:lang w:val="en-GB"/>
              </w:rPr>
              <w:t>Susținerea Măsurilor de Promovare a Încrederii</w:t>
            </w:r>
          </w:p>
          <w:p w14:paraId="40E50A98" w14:textId="77777777" w:rsidR="000A5D63" w:rsidRPr="00731EC9" w:rsidRDefault="000A5D63" w:rsidP="00CC7B63">
            <w:pPr>
              <w:pStyle w:val="NoSpacing"/>
              <w:spacing w:line="288" w:lineRule="auto"/>
              <w:jc w:val="center"/>
              <w:rPr>
                <w:rFonts w:ascii="Myriad Pro" w:hAnsi="Myriad Pro"/>
                <w:b/>
                <w:lang w:val="ru-RU"/>
              </w:rPr>
            </w:pPr>
            <w:r w:rsidRPr="00731EC9">
              <w:rPr>
                <w:rFonts w:ascii="Myriad Pro" w:hAnsi="Myriad Pro" w:cs="Tahoma"/>
                <w:sz w:val="18"/>
                <w:szCs w:val="18"/>
                <w:lang w:val="ru-RU"/>
              </w:rPr>
              <w:t>Поддержка мер по укреплению доверия</w:t>
            </w:r>
          </w:p>
        </w:tc>
        <w:tc>
          <w:tcPr>
            <w:tcW w:w="1677" w:type="dxa"/>
          </w:tcPr>
          <w:p w14:paraId="2DD4332D" w14:textId="77777777" w:rsidR="000A5D63" w:rsidRPr="00731EC9" w:rsidRDefault="000A5D63" w:rsidP="00CC7B63">
            <w:pPr>
              <w:spacing w:after="0" w:line="288" w:lineRule="auto"/>
              <w:jc w:val="right"/>
              <w:rPr>
                <w:rFonts w:ascii="Myriad Pro" w:hAnsi="Myriad Pro" w:cs="Tahoma"/>
                <w:b/>
                <w:lang w:val="ru-RU"/>
              </w:rPr>
            </w:pPr>
            <w:r w:rsidRPr="00CC7B63">
              <w:rPr>
                <w:rFonts w:ascii="Myriad Pro" w:hAnsi="Myriad Pro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3C0543F" wp14:editId="146CE236">
                  <wp:simplePos x="0" y="0"/>
                  <wp:positionH relativeFrom="column">
                    <wp:posOffset>523875</wp:posOffset>
                  </wp:positionH>
                  <wp:positionV relativeFrom="page">
                    <wp:posOffset>0</wp:posOffset>
                  </wp:positionV>
                  <wp:extent cx="666750" cy="1300480"/>
                  <wp:effectExtent l="0" t="0" r="0" b="0"/>
                  <wp:wrapSquare wrapText="bothSides"/>
                  <wp:docPr id="8" name="Picture 8" descr="Description: UNDP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NDP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E095D6" w14:textId="77777777" w:rsidR="008D5874" w:rsidRPr="00731EC9" w:rsidRDefault="008D5874" w:rsidP="00CC7B63">
      <w:pPr>
        <w:pStyle w:val="Heading1"/>
        <w:spacing w:before="0" w:line="288" w:lineRule="auto"/>
        <w:ind w:left="0" w:right="14"/>
        <w:jc w:val="center"/>
        <w:rPr>
          <w:lang w:val="ru-RU"/>
        </w:rPr>
      </w:pPr>
    </w:p>
    <w:p w14:paraId="4DE0D7E8" w14:textId="77777777" w:rsidR="009A6605" w:rsidRPr="00CC7B63" w:rsidRDefault="009A6605" w:rsidP="00CC7B63">
      <w:pPr>
        <w:pStyle w:val="Heading2"/>
        <w:spacing w:line="288" w:lineRule="auto"/>
        <w:ind w:left="274"/>
        <w:jc w:val="center"/>
        <w:rPr>
          <w:rFonts w:eastAsiaTheme="minorHAnsi" w:cs="Arial"/>
          <w:sz w:val="28"/>
          <w:szCs w:val="28"/>
          <w:shd w:val="clear" w:color="auto" w:fill="FFFFFF"/>
          <w:lang w:val="en-GB"/>
        </w:rPr>
      </w:pPr>
      <w:r w:rsidRPr="00CC7B63">
        <w:rPr>
          <w:rFonts w:eastAsiaTheme="minorHAnsi" w:cs="Arial"/>
          <w:sz w:val="28"/>
          <w:szCs w:val="28"/>
          <w:shd w:val="clear" w:color="auto" w:fill="FFFFFF"/>
          <w:lang w:val="en-GB"/>
        </w:rPr>
        <w:t>ItB17/01484</w:t>
      </w:r>
    </w:p>
    <w:p w14:paraId="45C7BCB8" w14:textId="77777777" w:rsidR="00CC7B63" w:rsidRDefault="009A6605" w:rsidP="00CC7B63">
      <w:pPr>
        <w:pStyle w:val="Heading2"/>
        <w:spacing w:line="288" w:lineRule="auto"/>
        <w:ind w:left="274"/>
        <w:jc w:val="center"/>
        <w:rPr>
          <w:rFonts w:cs="Arial"/>
          <w:sz w:val="28"/>
          <w:szCs w:val="28"/>
          <w:shd w:val="clear" w:color="auto" w:fill="FFFFFF"/>
          <w:lang w:val="en-GB"/>
        </w:rPr>
      </w:pPr>
      <w:r w:rsidRPr="00CC7B63">
        <w:rPr>
          <w:rFonts w:cs="Arial"/>
          <w:sz w:val="28"/>
          <w:szCs w:val="28"/>
          <w:shd w:val="clear" w:color="auto" w:fill="FFFFFF"/>
          <w:lang w:val="en-GB"/>
        </w:rPr>
        <w:t xml:space="preserve">SCBM/ Construction and renovation works of 2 social infrastructure projects located on both banks of Nistru river </w:t>
      </w:r>
    </w:p>
    <w:p w14:paraId="1A9FA5BB" w14:textId="77777777" w:rsidR="009A6605" w:rsidRPr="00CC7B63" w:rsidRDefault="009A6605" w:rsidP="00CC7B63">
      <w:pPr>
        <w:pStyle w:val="Heading2"/>
        <w:spacing w:line="288" w:lineRule="auto"/>
        <w:ind w:left="274"/>
        <w:jc w:val="center"/>
        <w:rPr>
          <w:rFonts w:cs="Arial"/>
          <w:sz w:val="32"/>
          <w:szCs w:val="32"/>
          <w:shd w:val="clear" w:color="auto" w:fill="FFFFFF"/>
          <w:lang w:val="en-GB"/>
        </w:rPr>
      </w:pPr>
      <w:r w:rsidRPr="00CC7B63">
        <w:rPr>
          <w:rFonts w:cs="Arial"/>
          <w:sz w:val="28"/>
          <w:szCs w:val="28"/>
          <w:shd w:val="clear" w:color="auto" w:fill="FFFFFF"/>
          <w:lang w:val="en-GB"/>
        </w:rPr>
        <w:t>(LOT 1 – Varnita and LOT 2 - Tiraspol)</w:t>
      </w:r>
    </w:p>
    <w:p w14:paraId="79A5A3F6" w14:textId="77777777" w:rsidR="00936874" w:rsidRDefault="00936874" w:rsidP="00936874">
      <w:pPr>
        <w:pStyle w:val="Heading2"/>
        <w:spacing w:line="288" w:lineRule="auto"/>
        <w:ind w:left="274"/>
        <w:jc w:val="center"/>
        <w:rPr>
          <w:b w:val="0"/>
          <w:sz w:val="28"/>
          <w:szCs w:val="28"/>
          <w:lang w:val="en-GB"/>
        </w:rPr>
      </w:pPr>
    </w:p>
    <w:p w14:paraId="62901AF0" w14:textId="77777777" w:rsidR="00DB4B8B" w:rsidRPr="00731EC9" w:rsidRDefault="005677B6" w:rsidP="00936874">
      <w:pPr>
        <w:pStyle w:val="Heading2"/>
        <w:spacing w:line="288" w:lineRule="auto"/>
        <w:ind w:left="274"/>
        <w:jc w:val="center"/>
        <w:rPr>
          <w:b w:val="0"/>
          <w:sz w:val="28"/>
          <w:szCs w:val="28"/>
          <w:lang w:val="fr-FR"/>
        </w:rPr>
      </w:pPr>
      <w:r w:rsidRPr="00731EC9">
        <w:rPr>
          <w:b w:val="0"/>
          <w:sz w:val="28"/>
          <w:szCs w:val="28"/>
          <w:lang w:val="fr-FR"/>
        </w:rPr>
        <w:t>1</w:t>
      </w:r>
      <w:r w:rsidR="00936874" w:rsidRPr="00731EC9">
        <w:rPr>
          <w:b w:val="0"/>
          <w:sz w:val="28"/>
          <w:szCs w:val="28"/>
          <w:lang w:val="fr-FR"/>
        </w:rPr>
        <w:t>8 aprilie 2017</w:t>
      </w:r>
    </w:p>
    <w:p w14:paraId="4D664BB8" w14:textId="77777777" w:rsidR="00936874" w:rsidRPr="00731EC9" w:rsidRDefault="00936874" w:rsidP="00936874">
      <w:pPr>
        <w:pStyle w:val="Heading2"/>
        <w:spacing w:line="288" w:lineRule="auto"/>
        <w:ind w:left="274"/>
        <w:jc w:val="center"/>
        <w:rPr>
          <w:rFonts w:cs="Myriad Pro"/>
          <w:b w:val="0"/>
          <w:bCs w:val="0"/>
          <w:i/>
          <w:lang w:val="fr-FR"/>
        </w:rPr>
      </w:pPr>
    </w:p>
    <w:p w14:paraId="6873A636" w14:textId="77777777" w:rsidR="00936874" w:rsidRPr="002440E1" w:rsidRDefault="002440E1" w:rsidP="00936874">
      <w:pPr>
        <w:pStyle w:val="Heading2"/>
        <w:spacing w:line="288" w:lineRule="auto"/>
        <w:ind w:left="274"/>
        <w:jc w:val="center"/>
        <w:rPr>
          <w:rFonts w:cs="Myriad Pro"/>
          <w:bCs w:val="0"/>
          <w:i/>
          <w:sz w:val="28"/>
          <w:szCs w:val="28"/>
          <w:u w:val="single"/>
          <w:lang w:val="ro-RO"/>
        </w:rPr>
      </w:pPr>
      <w:r w:rsidRPr="002440E1">
        <w:rPr>
          <w:rFonts w:cs="Myriad Pro"/>
          <w:bCs w:val="0"/>
          <w:i/>
          <w:sz w:val="28"/>
          <w:szCs w:val="28"/>
          <w:u w:val="single"/>
          <w:lang w:val="ro-RO"/>
        </w:rPr>
        <w:t>Clarificări cu privire la devizul local nr. 2-1-3 pentru obiectul din s. Varnita</w:t>
      </w:r>
    </w:p>
    <w:p w14:paraId="37BC53B0" w14:textId="77777777" w:rsidR="00936874" w:rsidRPr="00731EC9" w:rsidRDefault="00936874" w:rsidP="00936874">
      <w:pPr>
        <w:pStyle w:val="Heading2"/>
        <w:spacing w:line="288" w:lineRule="auto"/>
        <w:ind w:left="274"/>
        <w:jc w:val="center"/>
        <w:rPr>
          <w:rFonts w:cs="Myriad Pro"/>
          <w:b w:val="0"/>
          <w:bCs w:val="0"/>
          <w:i/>
          <w:lang w:val="fr-FR"/>
        </w:rPr>
      </w:pPr>
    </w:p>
    <w:p w14:paraId="4EE35A42" w14:textId="77777777" w:rsidR="00374AB5" w:rsidRPr="00731EC9" w:rsidRDefault="002440E1" w:rsidP="00A32759">
      <w:pPr>
        <w:spacing w:before="60" w:after="60" w:line="288" w:lineRule="auto"/>
        <w:ind w:left="1170" w:hanging="1170"/>
        <w:jc w:val="both"/>
        <w:rPr>
          <w:rFonts w:ascii="Myriad Pro" w:eastAsia="Myriad Pro" w:hAnsi="Myriad Pro" w:cs="Myriad Pro"/>
          <w:bCs/>
          <w:lang w:val="fr-FR"/>
        </w:rPr>
      </w:pPr>
      <w:r w:rsidRPr="00731EC9">
        <w:rPr>
          <w:rFonts w:ascii="Myriad Pro" w:eastAsia="Myriad Pro" w:hAnsi="Myriad Pro" w:cs="Myriad Pro"/>
          <w:b/>
          <w:bCs/>
          <w:i/>
          <w:lang w:val="fr-FR"/>
        </w:rPr>
        <w:t>Întrebarea</w:t>
      </w:r>
      <w:r w:rsidR="00D9633D" w:rsidRPr="00731EC9">
        <w:rPr>
          <w:rFonts w:ascii="Myriad Pro" w:eastAsia="Myriad Pro" w:hAnsi="Myriad Pro" w:cs="Myriad Pro"/>
          <w:b/>
          <w:bCs/>
          <w:i/>
          <w:lang w:val="fr-FR"/>
        </w:rPr>
        <w:t xml:space="preserve"> </w:t>
      </w:r>
      <w:r w:rsidRPr="00731EC9">
        <w:rPr>
          <w:rFonts w:ascii="Myriad Pro" w:eastAsia="Myriad Pro" w:hAnsi="Myriad Pro" w:cs="Myriad Pro"/>
          <w:b/>
          <w:bCs/>
          <w:i/>
          <w:lang w:val="fr-FR"/>
        </w:rPr>
        <w:t>1</w:t>
      </w:r>
      <w:r w:rsidR="006E3DFB" w:rsidRPr="00731EC9">
        <w:rPr>
          <w:rFonts w:ascii="Myriad Pro" w:eastAsia="Myriad Pro" w:hAnsi="Myriad Pro" w:cs="Myriad Pro"/>
          <w:b/>
          <w:bCs/>
          <w:i/>
          <w:lang w:val="fr-FR"/>
        </w:rPr>
        <w:t xml:space="preserve">: 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In Anexa 1, Caietul de sarcini pentru obiectul Varita, </w:t>
      </w:r>
      <w:r w:rsidR="00A32759" w:rsidRPr="00731EC9">
        <w:rPr>
          <w:rFonts w:ascii="Myriad Pro" w:eastAsia="Myriad Pro" w:hAnsi="Myriad Pro" w:cs="Myriad Pro"/>
          <w:bCs/>
          <w:lang w:val="fr-FR"/>
        </w:rPr>
        <w:t xml:space="preserve">Capitolul 2-1-3 Lucrari tehnico-sanitare, la pozitiile 9-17 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din deviz Norma SA15B </w:t>
      </w:r>
      <w:r w:rsidR="00A32759" w:rsidRPr="00731EC9">
        <w:rPr>
          <w:rFonts w:ascii="Myriad Pro" w:eastAsia="Myriad Pro" w:hAnsi="Myriad Pro" w:cs="Myriad Pro"/>
          <w:bCs/>
          <w:lang w:val="fr-FR"/>
        </w:rPr>
        <w:t>are unitatea de masura “</w:t>
      </w:r>
      <w:r w:rsidR="00374AB5" w:rsidRPr="00731EC9">
        <w:rPr>
          <w:rFonts w:ascii="Myriad Pro" w:eastAsia="Myriad Pro" w:hAnsi="Myriad Pro" w:cs="Myriad Pro"/>
          <w:bCs/>
          <w:lang w:val="fr-FR"/>
        </w:rPr>
        <w:t>buc</w:t>
      </w:r>
      <w:r w:rsidR="00A32759" w:rsidRPr="00731EC9">
        <w:rPr>
          <w:rFonts w:ascii="Myriad Pro" w:eastAsia="Myriad Pro" w:hAnsi="Myriad Pro" w:cs="Myriad Pro"/>
          <w:bCs/>
          <w:lang w:val="fr-FR"/>
        </w:rPr>
        <w:t>.”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, </w:t>
      </w:r>
      <w:r w:rsidR="00A32759" w:rsidRPr="00731EC9">
        <w:rPr>
          <w:rFonts w:ascii="Myriad Pro" w:eastAsia="Myriad Pro" w:hAnsi="Myriad Pro" w:cs="Myriad Pro"/>
          <w:bCs/>
          <w:lang w:val="fr-FR"/>
        </w:rPr>
        <w:t xml:space="preserve">pe cind 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de facto ea este o norma </w:t>
      </w:r>
      <w:r w:rsidR="00A32759" w:rsidRPr="00731EC9">
        <w:rPr>
          <w:rFonts w:ascii="Myriad Pro" w:eastAsia="Myriad Pro" w:hAnsi="Myriad Pro" w:cs="Myriad Pro"/>
          <w:bCs/>
          <w:lang w:val="fr-FR"/>
        </w:rPr>
        <w:t xml:space="preserve">cu unitatea de masura “m/l”. Unde </w:t>
      </w:r>
      <w:r w:rsidR="00374AB5" w:rsidRPr="00731EC9">
        <w:rPr>
          <w:rFonts w:ascii="Myriad Pro" w:eastAsia="Myriad Pro" w:hAnsi="Myriad Pro" w:cs="Myriad Pro"/>
          <w:bCs/>
          <w:lang w:val="fr-FR"/>
        </w:rPr>
        <w:t>putem vedea reteta modificata a acestei norme. La fel si Norma SA17B</w:t>
      </w:r>
      <w:r w:rsidR="00A32759" w:rsidRPr="00731EC9">
        <w:rPr>
          <w:rFonts w:ascii="Myriad Pro" w:eastAsia="Myriad Pro" w:hAnsi="Myriad Pro" w:cs="Myriad Pro"/>
          <w:bCs/>
          <w:lang w:val="fr-FR"/>
        </w:rPr>
        <w:t xml:space="preserve">, care </w:t>
      </w:r>
      <w:r w:rsidR="00374AB5" w:rsidRPr="00731EC9">
        <w:rPr>
          <w:rFonts w:ascii="Myriad Pro" w:eastAsia="Myriad Pro" w:hAnsi="Myriad Pro" w:cs="Myriad Pro"/>
          <w:bCs/>
          <w:lang w:val="fr-FR"/>
        </w:rPr>
        <w:t>apare la poz</w:t>
      </w:r>
      <w:r w:rsidR="00A32759" w:rsidRPr="00731EC9">
        <w:rPr>
          <w:rFonts w:ascii="Myriad Pro" w:eastAsia="Myriad Pro" w:hAnsi="Myriad Pro" w:cs="Myriad Pro"/>
          <w:bCs/>
          <w:lang w:val="fr-FR"/>
        </w:rPr>
        <w:t>itia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10 la m/l, </w:t>
      </w:r>
      <w:r w:rsidR="00A32759" w:rsidRPr="00731EC9">
        <w:rPr>
          <w:rFonts w:ascii="Myriad Pro" w:eastAsia="Myriad Pro" w:hAnsi="Myriad Pro" w:cs="Myriad Pro"/>
          <w:bCs/>
          <w:lang w:val="fr-FR"/>
        </w:rPr>
        <w:t xml:space="preserve">iar in </w:t>
      </w:r>
      <w:r w:rsidR="00374AB5" w:rsidRPr="00731EC9">
        <w:rPr>
          <w:rFonts w:ascii="Myriad Pro" w:eastAsia="Myriad Pro" w:hAnsi="Myriad Pro" w:cs="Myriad Pro"/>
          <w:bCs/>
          <w:lang w:val="fr-FR"/>
        </w:rPr>
        <w:t>poz</w:t>
      </w:r>
      <w:r w:rsidR="00A32759" w:rsidRPr="00731EC9">
        <w:rPr>
          <w:rFonts w:ascii="Myriad Pro" w:eastAsia="Myriad Pro" w:hAnsi="Myriad Pro" w:cs="Myriad Pro"/>
          <w:bCs/>
          <w:lang w:val="fr-FR"/>
        </w:rPr>
        <w:t>itia 1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2 la buc. – Cum au fost modificate aceste norme si unde putem vedea retetele modificate ale </w:t>
      </w:r>
      <w:r w:rsidR="00A32759" w:rsidRPr="00731EC9">
        <w:rPr>
          <w:rFonts w:ascii="Myriad Pro" w:eastAsia="Myriad Pro" w:hAnsi="Myriad Pro" w:cs="Myriad Pro"/>
          <w:bCs/>
          <w:lang w:val="fr-FR"/>
        </w:rPr>
        <w:t>acestora?</w:t>
      </w:r>
    </w:p>
    <w:p w14:paraId="030A6F38" w14:textId="77777777" w:rsidR="00A32759" w:rsidRPr="00A32759" w:rsidRDefault="002440E1" w:rsidP="00A32759">
      <w:pPr>
        <w:spacing w:before="60" w:after="60" w:line="288" w:lineRule="auto"/>
        <w:ind w:left="1170" w:hanging="1170"/>
        <w:jc w:val="both"/>
        <w:rPr>
          <w:rFonts w:ascii="Myriad Pro" w:eastAsia="Myriad Pro" w:hAnsi="Myriad Pro" w:cs="Myriad Pro"/>
          <w:spacing w:val="-1"/>
        </w:rPr>
      </w:pPr>
      <w:r w:rsidRPr="00731EC9">
        <w:rPr>
          <w:rFonts w:ascii="Myriad Pro" w:eastAsia="Myriad Pro" w:hAnsi="Myriad Pro" w:cs="Myriad Pro"/>
          <w:b/>
          <w:spacing w:val="-1"/>
          <w:lang w:val="fr-FR"/>
        </w:rPr>
        <w:t>Răspuns</w:t>
      </w:r>
      <w:r w:rsidR="00374AB5" w:rsidRPr="00731EC9">
        <w:rPr>
          <w:rFonts w:ascii="Myriad Pro" w:eastAsia="Myriad Pro" w:hAnsi="Myriad Pro" w:cs="Myriad Pro"/>
          <w:b/>
          <w:spacing w:val="-1"/>
          <w:lang w:val="fr-FR"/>
        </w:rPr>
        <w:t>:</w:t>
      </w:r>
      <w:r w:rsidR="00374AB5" w:rsidRPr="00731EC9">
        <w:rPr>
          <w:rFonts w:ascii="Myriad Pro" w:eastAsia="Myriad Pro" w:hAnsi="Myriad Pro" w:cs="Myriad Pro"/>
          <w:b/>
          <w:spacing w:val="-1"/>
          <w:lang w:val="fr-FR"/>
        </w:rPr>
        <w:tab/>
      </w:r>
      <w:r w:rsidR="00A32759" w:rsidRPr="00A32759">
        <w:rPr>
          <w:rFonts w:ascii="Myriad Pro" w:eastAsia="Myriad Pro" w:hAnsi="Myriad Pro" w:cs="Myriad Pro"/>
          <w:spacing w:val="-1"/>
        </w:rPr>
        <w:t>Pozitia 4</w:t>
      </w:r>
      <w:r w:rsidR="00A32759">
        <w:rPr>
          <w:rFonts w:ascii="Myriad Pro" w:eastAsia="Myriad Pro" w:hAnsi="Myriad Pro" w:cs="Myriad Pro"/>
          <w:spacing w:val="-1"/>
        </w:rPr>
        <w:t>, cod</w:t>
      </w:r>
      <w:r w:rsidR="00A32759" w:rsidRPr="00A32759">
        <w:rPr>
          <w:rFonts w:ascii="Myriad Pro" w:eastAsia="Myriad Pro" w:hAnsi="Myriad Pro" w:cs="Myriad Pro"/>
          <w:spacing w:val="-1"/>
        </w:rPr>
        <w:t xml:space="preserve"> SA15A Țeava din material plastic imbinata prin sudura prin polifuziune, in conducte de legatura, la obiecte sanitare, la obiecte de locuit si social-culturale, avind diametrul de 16 mm (teava PPR  d 20x2,1) se exclud resursele Cot, teu, reducție, mufă din material plastic. (teava PPR  d 20x2,1 și restul resurselor rămîn cu norma de consum ne schimbate);</w:t>
      </w:r>
    </w:p>
    <w:p w14:paraId="425977A2" w14:textId="77777777" w:rsidR="00A32759" w:rsidRPr="00A32759" w:rsidRDefault="00A32759" w:rsidP="00A32759">
      <w:pPr>
        <w:spacing w:before="60" w:after="60" w:line="288" w:lineRule="auto"/>
        <w:ind w:left="1170"/>
        <w:jc w:val="both"/>
        <w:rPr>
          <w:rFonts w:ascii="Myriad Pro" w:eastAsia="Myriad Pro" w:hAnsi="Myriad Pro" w:cs="Myriad Pro"/>
          <w:spacing w:val="-1"/>
        </w:rPr>
      </w:pPr>
      <w:r>
        <w:rPr>
          <w:rFonts w:ascii="Myriad Pro" w:eastAsia="Myriad Pro" w:hAnsi="Myriad Pro" w:cs="Myriad Pro"/>
          <w:spacing w:val="-1"/>
        </w:rPr>
        <w:t xml:space="preserve">Pentru pozițiile </w:t>
      </w:r>
      <w:r w:rsidRPr="00A32759">
        <w:rPr>
          <w:rFonts w:ascii="Myriad Pro" w:eastAsia="Myriad Pro" w:hAnsi="Myriad Pro" w:cs="Myriad Pro"/>
          <w:spacing w:val="-1"/>
        </w:rPr>
        <w:t xml:space="preserve">9-17,23,28-32 Unitatea de măsură este de o bucată și descrie cantitatea de fitinguri ce se prevăd in descrierea dintre </w:t>
      </w:r>
      <w:r>
        <w:rPr>
          <w:rFonts w:ascii="Myriad Pro" w:eastAsia="Myriad Pro" w:hAnsi="Myriad Pro" w:cs="Myriad Pro"/>
          <w:spacing w:val="-1"/>
        </w:rPr>
        <w:t>paranteze</w:t>
      </w:r>
      <w:r w:rsidRPr="00A32759">
        <w:rPr>
          <w:rFonts w:ascii="Myriad Pro" w:eastAsia="Myriad Pro" w:hAnsi="Myriad Pro" w:cs="Myriad Pro"/>
          <w:spacing w:val="-1"/>
        </w:rPr>
        <w:t xml:space="preserve"> a normei. Norma de deviz a acestor poziții are in componenta toate resursele din norma cu codul pe care o descrie, din care se exclud țeava din material plastic si fitingurile ce nu sunt necesare (fitingul care se solicită are norma de consum 1, restul resurse</w:t>
      </w:r>
      <w:r>
        <w:rPr>
          <w:rFonts w:ascii="Myriad Pro" w:eastAsia="Myriad Pro" w:hAnsi="Myriad Pro" w:cs="Myriad Pro"/>
          <w:spacing w:val="-1"/>
        </w:rPr>
        <w:t>lor rămân cu norma de consum ne</w:t>
      </w:r>
      <w:r w:rsidRPr="00A32759">
        <w:rPr>
          <w:rFonts w:ascii="Myriad Pro" w:eastAsia="Myriad Pro" w:hAnsi="Myriad Pro" w:cs="Myriad Pro"/>
          <w:spacing w:val="-1"/>
        </w:rPr>
        <w:t>schimbate)</w:t>
      </w:r>
      <w:r>
        <w:rPr>
          <w:rFonts w:ascii="Myriad Pro" w:eastAsia="Myriad Pro" w:hAnsi="Myriad Pro" w:cs="Myriad Pro"/>
          <w:spacing w:val="-1"/>
        </w:rPr>
        <w:t xml:space="preserve">. </w:t>
      </w:r>
    </w:p>
    <w:p w14:paraId="7D4F55D8" w14:textId="77777777" w:rsidR="00374AB5" w:rsidRPr="00731EC9" w:rsidRDefault="00A32759" w:rsidP="00A32759">
      <w:pPr>
        <w:spacing w:before="60" w:after="60" w:line="288" w:lineRule="auto"/>
        <w:ind w:left="1170"/>
        <w:jc w:val="both"/>
        <w:rPr>
          <w:rFonts w:ascii="Myriad Pro" w:eastAsia="Myriad Pro" w:hAnsi="Myriad Pro" w:cs="Myriad Pro"/>
          <w:spacing w:val="-1"/>
          <w:lang w:val="fr-FR"/>
        </w:rPr>
      </w:pPr>
      <w:r>
        <w:rPr>
          <w:rFonts w:ascii="Myriad Pro" w:eastAsia="Myriad Pro" w:hAnsi="Myriad Pro" w:cs="Myriad Pro"/>
          <w:spacing w:val="-1"/>
        </w:rPr>
        <w:t xml:space="preserve">Spre exemplu: </w:t>
      </w:r>
      <w:r w:rsidRPr="00A32759">
        <w:rPr>
          <w:rFonts w:ascii="Myriad Pro" w:eastAsia="Myriad Pro" w:hAnsi="Myriad Pro" w:cs="Myriad Pro"/>
          <w:spacing w:val="-1"/>
        </w:rPr>
        <w:t>Poziția  9</w:t>
      </w:r>
      <w:r>
        <w:rPr>
          <w:rFonts w:ascii="Myriad Pro" w:eastAsia="Myriad Pro" w:hAnsi="Myriad Pro" w:cs="Myriad Pro"/>
          <w:spacing w:val="-1"/>
        </w:rPr>
        <w:t>, cod</w:t>
      </w:r>
      <w:r w:rsidRPr="00A32759">
        <w:rPr>
          <w:rFonts w:ascii="Myriad Pro" w:eastAsia="Myriad Pro" w:hAnsi="Myriad Pro" w:cs="Myriad Pro"/>
          <w:spacing w:val="-1"/>
        </w:rPr>
        <w:t xml:space="preserve"> SA15B Țeava din material plastic îmbinata prin sudura prin polifuziune, in conducte de legătura, la obiecte sanita</w:t>
      </w:r>
      <w:r>
        <w:rPr>
          <w:rFonts w:ascii="Myriad Pro" w:eastAsia="Myriad Pro" w:hAnsi="Myriad Pro" w:cs="Myriad Pro"/>
          <w:spacing w:val="-1"/>
        </w:rPr>
        <w:t>re, la obiecte de locuit si soc</w:t>
      </w:r>
      <w:r w:rsidRPr="00A32759">
        <w:rPr>
          <w:rFonts w:ascii="Myriad Pro" w:eastAsia="Myriad Pro" w:hAnsi="Myriad Pro" w:cs="Myriad Pro"/>
          <w:spacing w:val="-1"/>
        </w:rPr>
        <w:t xml:space="preserve">ial-culturale, avind diametrul de 20-25 mm (teu PPR d 20 ) </w:t>
      </w:r>
      <w:r w:rsidRPr="00A32759">
        <w:rPr>
          <w:rFonts w:ascii="Myriad Pro" w:eastAsia="Myriad Pro" w:hAnsi="Myriad Pro" w:cs="Myriad Pro"/>
          <w:spacing w:val="-1"/>
          <w:u w:val="single"/>
        </w:rPr>
        <w:t>se exclud</w:t>
      </w:r>
      <w:r w:rsidRPr="00A32759">
        <w:rPr>
          <w:rFonts w:ascii="Myriad Pro" w:eastAsia="Myriad Pro" w:hAnsi="Myriad Pro" w:cs="Myriad Pro"/>
          <w:spacing w:val="-1"/>
        </w:rPr>
        <w:t xml:space="preserve"> resursele țeavă,  cot, reducție, mufă din material plastic. (Teu PPR  d 20 este introdus cu norma de consum 1 și restul resurselor rămîn cu norma de consum neschimbate)</w:t>
      </w:r>
      <w:r>
        <w:rPr>
          <w:rFonts w:ascii="Myriad Pro" w:eastAsia="Myriad Pro" w:hAnsi="Myriad Pro" w:cs="Myriad Pro"/>
          <w:spacing w:val="-1"/>
        </w:rPr>
        <w:t xml:space="preserve">. </w:t>
      </w:r>
    </w:p>
    <w:p w14:paraId="679D4810" w14:textId="77777777" w:rsidR="00374AB5" w:rsidRPr="00731EC9" w:rsidRDefault="00374AB5" w:rsidP="00A32759">
      <w:pPr>
        <w:spacing w:before="60" w:after="60" w:line="288" w:lineRule="auto"/>
        <w:ind w:left="1170" w:hanging="1170"/>
        <w:jc w:val="both"/>
        <w:rPr>
          <w:rFonts w:ascii="Myriad Pro" w:eastAsia="Myriad Pro" w:hAnsi="Myriad Pro" w:cs="Myriad Pro"/>
          <w:bCs/>
          <w:lang w:val="fr-FR"/>
        </w:rPr>
      </w:pPr>
    </w:p>
    <w:p w14:paraId="17E26CC0" w14:textId="77777777" w:rsidR="00374AB5" w:rsidRPr="00731EC9" w:rsidRDefault="002440E1" w:rsidP="00A32759">
      <w:pPr>
        <w:spacing w:before="60" w:after="60" w:line="288" w:lineRule="auto"/>
        <w:ind w:left="1170" w:hanging="1170"/>
        <w:jc w:val="both"/>
        <w:rPr>
          <w:rFonts w:ascii="Myriad Pro" w:eastAsia="Myriad Pro" w:hAnsi="Myriad Pro" w:cs="Myriad Pro"/>
          <w:bCs/>
          <w:lang w:val="fr-FR"/>
        </w:rPr>
      </w:pPr>
      <w:r w:rsidRPr="00731EC9">
        <w:rPr>
          <w:rFonts w:ascii="Myriad Pro" w:eastAsia="Myriad Pro" w:hAnsi="Myriad Pro" w:cs="Myriad Pro"/>
          <w:b/>
          <w:bCs/>
          <w:i/>
          <w:lang w:val="fr-FR"/>
        </w:rPr>
        <w:t>Întrebarea 2</w:t>
      </w:r>
      <w:r w:rsidR="00374AB5" w:rsidRPr="00731EC9">
        <w:rPr>
          <w:rFonts w:ascii="Myriad Pro" w:eastAsia="Myriad Pro" w:hAnsi="Myriad Pro" w:cs="Myriad Pro"/>
          <w:b/>
          <w:bCs/>
          <w:i/>
          <w:lang w:val="fr-FR"/>
        </w:rPr>
        <w:t>:</w:t>
      </w:r>
      <w:r w:rsidR="00374AB5" w:rsidRPr="00731EC9">
        <w:rPr>
          <w:rFonts w:ascii="Myriad Pro" w:eastAsia="Myriad Pro" w:hAnsi="Myriad Pro" w:cs="Myriad Pro"/>
          <w:b/>
          <w:bCs/>
          <w:i/>
          <w:lang w:val="fr-FR"/>
        </w:rPr>
        <w:tab/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In Devizul 2-1-5 la pag.27 la Lucrari de montare poz.18 avem Cazan de preparare agent termic </w:t>
      </w:r>
      <w:r w:rsidR="00374AB5" w:rsidRPr="00731EC9">
        <w:rPr>
          <w:rFonts w:ascii="Myriad Pro" w:eastAsia="Myriad Pro" w:hAnsi="Myriad Pro" w:cs="Myriad Pro"/>
          <w:bCs/>
          <w:u w:val="single"/>
          <w:lang w:val="fr-FR"/>
        </w:rPr>
        <w:t>Cazan de tip THERM 23 TLXZ . Q=24</w:t>
      </w:r>
      <w:r w:rsidR="00374AB5" w:rsidRPr="00374AB5">
        <w:rPr>
          <w:rFonts w:ascii="Myriad Pro" w:eastAsia="Myriad Pro" w:hAnsi="Myriad Pro" w:cs="Myriad Pro"/>
          <w:bCs/>
          <w:u w:val="single"/>
          <w:lang w:val="en-GB"/>
        </w:rPr>
        <w:t>к</w:t>
      </w:r>
      <w:r w:rsidR="00374AB5" w:rsidRPr="00731EC9">
        <w:rPr>
          <w:rFonts w:ascii="Myriad Pro" w:eastAsia="Myriad Pro" w:hAnsi="Myriad Pro" w:cs="Myriad Pro"/>
          <w:bCs/>
          <w:u w:val="single"/>
          <w:lang w:val="fr-FR"/>
        </w:rPr>
        <w:t>wt – 1 buc.</w:t>
      </w:r>
      <w:r w:rsidR="00374AB5" w:rsidRPr="00731EC9">
        <w:rPr>
          <w:rFonts w:ascii="Myriad Pro" w:eastAsia="Myriad Pro" w:hAnsi="Myriad Pro" w:cs="Myriad Pro"/>
          <w:bCs/>
          <w:lang w:val="fr-FR"/>
        </w:rPr>
        <w:t xml:space="preserve">, dar la Valoarea utilajului, poz.22 apare </w:t>
      </w:r>
      <w:r w:rsidR="00374AB5" w:rsidRPr="00731EC9">
        <w:rPr>
          <w:rFonts w:ascii="Myriad Pro" w:eastAsia="Myriad Pro" w:hAnsi="Myriad Pro" w:cs="Myriad Pro"/>
          <w:bCs/>
          <w:u w:val="single"/>
          <w:lang w:val="fr-FR"/>
        </w:rPr>
        <w:t>Cazan de tip THERM 23 TLXZ . Q=24</w:t>
      </w:r>
      <w:r w:rsidR="00374AB5" w:rsidRPr="00374AB5">
        <w:rPr>
          <w:rFonts w:ascii="Myriad Pro" w:eastAsia="Myriad Pro" w:hAnsi="Myriad Pro" w:cs="Myriad Pro"/>
          <w:bCs/>
          <w:u w:val="single"/>
          <w:lang w:val="en-GB"/>
        </w:rPr>
        <w:t>к</w:t>
      </w:r>
      <w:r w:rsidR="00374AB5" w:rsidRPr="00731EC9">
        <w:rPr>
          <w:rFonts w:ascii="Myriad Pro" w:eastAsia="Myriad Pro" w:hAnsi="Myriad Pro" w:cs="Myriad Pro"/>
          <w:bCs/>
          <w:u w:val="single"/>
          <w:lang w:val="fr-FR"/>
        </w:rPr>
        <w:t>wt – 2 buc.</w:t>
      </w:r>
    </w:p>
    <w:p w14:paraId="206B5A90" w14:textId="29C0923A" w:rsidR="00374AB5" w:rsidRPr="00374AB5" w:rsidRDefault="002440E1" w:rsidP="0011747B">
      <w:pPr>
        <w:spacing w:before="60" w:after="60" w:line="288" w:lineRule="auto"/>
        <w:ind w:left="1170" w:hanging="1170"/>
        <w:jc w:val="both"/>
        <w:rPr>
          <w:rFonts w:ascii="Myriad Pro" w:eastAsia="Myriad Pro" w:hAnsi="Myriad Pro" w:cs="Myriad Pro"/>
          <w:bCs/>
          <w:lang w:val="en-GB"/>
        </w:rPr>
      </w:pPr>
      <w:r w:rsidRPr="00731EC9">
        <w:rPr>
          <w:rFonts w:ascii="Myriad Pro" w:eastAsia="Myriad Pro" w:hAnsi="Myriad Pro" w:cs="Myriad Pro"/>
          <w:b/>
          <w:spacing w:val="-1"/>
          <w:lang w:val="fr-FR"/>
        </w:rPr>
        <w:t>Răspuns</w:t>
      </w:r>
      <w:r w:rsidR="00374AB5" w:rsidRPr="00731EC9">
        <w:rPr>
          <w:rFonts w:ascii="Myriad Pro" w:eastAsia="Myriad Pro" w:hAnsi="Myriad Pro" w:cs="Myriad Pro"/>
          <w:b/>
          <w:spacing w:val="-1"/>
          <w:lang w:val="fr-FR"/>
        </w:rPr>
        <w:t>:</w:t>
      </w:r>
      <w:r w:rsidR="00374AB5" w:rsidRPr="00731EC9">
        <w:rPr>
          <w:rFonts w:ascii="Myriad Pro" w:eastAsia="Myriad Pro" w:hAnsi="Myriad Pro" w:cs="Myriad Pro"/>
          <w:b/>
          <w:spacing w:val="-1"/>
          <w:lang w:val="fr-FR"/>
        </w:rPr>
        <w:tab/>
      </w:r>
      <w:r w:rsidR="00374AB5" w:rsidRPr="00374AB5">
        <w:rPr>
          <w:rFonts w:ascii="Myriad Pro" w:eastAsia="Myriad Pro" w:hAnsi="Myriad Pro" w:cs="Myriad Pro"/>
          <w:bCs/>
        </w:rPr>
        <w:t xml:space="preserve">Сu privire la Utilajul din caietul de sarcini pentru întocmirea devizului local №  2-1-5 poz.22 a fost comisă o greșeală de volum, astfel în loc de 2 bucati este nevoie de un </w:t>
      </w:r>
      <w:r w:rsidR="00A32759">
        <w:rPr>
          <w:rFonts w:ascii="Myriad Pro" w:eastAsia="Myriad Pro" w:hAnsi="Myriad Pro" w:cs="Myriad Pro"/>
          <w:bCs/>
        </w:rPr>
        <w:t>(1) cazan de tip 23 TLXZ . Q=24кwt.</w:t>
      </w:r>
      <w:bookmarkStart w:id="0" w:name="_GoBack"/>
      <w:bookmarkEnd w:id="0"/>
    </w:p>
    <w:sectPr w:rsidR="00374AB5" w:rsidRPr="00374AB5" w:rsidSect="00CC7B63">
      <w:pgSz w:w="11906" w:h="16838"/>
      <w:pgMar w:top="1008" w:right="1008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E2DF" w14:textId="77777777" w:rsidR="00956025" w:rsidRDefault="00956025" w:rsidP="000A5D63">
      <w:pPr>
        <w:spacing w:after="0" w:line="240" w:lineRule="auto"/>
      </w:pPr>
      <w:r>
        <w:separator/>
      </w:r>
    </w:p>
  </w:endnote>
  <w:endnote w:type="continuationSeparator" w:id="0">
    <w:p w14:paraId="7D99E87C" w14:textId="77777777" w:rsidR="00956025" w:rsidRDefault="00956025" w:rsidP="000A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E59E" w14:textId="77777777" w:rsidR="00956025" w:rsidRDefault="00956025" w:rsidP="000A5D63">
      <w:pPr>
        <w:spacing w:after="0" w:line="240" w:lineRule="auto"/>
      </w:pPr>
      <w:r>
        <w:separator/>
      </w:r>
    </w:p>
  </w:footnote>
  <w:footnote w:type="continuationSeparator" w:id="0">
    <w:p w14:paraId="329E09F4" w14:textId="77777777" w:rsidR="00956025" w:rsidRDefault="00956025" w:rsidP="000A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384"/>
    <w:multiLevelType w:val="hybridMultilevel"/>
    <w:tmpl w:val="BECE7392"/>
    <w:lvl w:ilvl="0" w:tplc="04180013">
      <w:start w:val="1"/>
      <w:numFmt w:val="upperRoman"/>
      <w:lvlText w:val="%1."/>
      <w:lvlJc w:val="right"/>
      <w:pPr>
        <w:ind w:hanging="360"/>
      </w:pPr>
      <w:rPr>
        <w:rFonts w:hint="default"/>
        <w:b/>
        <w:bCs/>
        <w:spacing w:val="-1"/>
        <w:sz w:val="22"/>
        <w:szCs w:val="22"/>
      </w:rPr>
    </w:lvl>
    <w:lvl w:ilvl="1" w:tplc="59E8A06A">
      <w:start w:val="1"/>
      <w:numFmt w:val="bullet"/>
      <w:lvlText w:val="•"/>
      <w:lvlJc w:val="left"/>
      <w:rPr>
        <w:rFonts w:hint="default"/>
      </w:rPr>
    </w:lvl>
    <w:lvl w:ilvl="2" w:tplc="84424896">
      <w:start w:val="1"/>
      <w:numFmt w:val="bullet"/>
      <w:lvlText w:val="•"/>
      <w:lvlJc w:val="left"/>
      <w:rPr>
        <w:rFonts w:hint="default"/>
      </w:rPr>
    </w:lvl>
    <w:lvl w:ilvl="3" w:tplc="FDB81F2A">
      <w:start w:val="1"/>
      <w:numFmt w:val="bullet"/>
      <w:lvlText w:val="•"/>
      <w:lvlJc w:val="left"/>
      <w:rPr>
        <w:rFonts w:hint="default"/>
      </w:rPr>
    </w:lvl>
    <w:lvl w:ilvl="4" w:tplc="0F3E37CE">
      <w:start w:val="1"/>
      <w:numFmt w:val="bullet"/>
      <w:lvlText w:val="•"/>
      <w:lvlJc w:val="left"/>
      <w:rPr>
        <w:rFonts w:hint="default"/>
      </w:rPr>
    </w:lvl>
    <w:lvl w:ilvl="5" w:tplc="560EABD2">
      <w:start w:val="1"/>
      <w:numFmt w:val="bullet"/>
      <w:lvlText w:val="•"/>
      <w:lvlJc w:val="left"/>
      <w:rPr>
        <w:rFonts w:hint="default"/>
      </w:rPr>
    </w:lvl>
    <w:lvl w:ilvl="6" w:tplc="362A45F8">
      <w:start w:val="1"/>
      <w:numFmt w:val="bullet"/>
      <w:lvlText w:val="•"/>
      <w:lvlJc w:val="left"/>
      <w:rPr>
        <w:rFonts w:hint="default"/>
      </w:rPr>
    </w:lvl>
    <w:lvl w:ilvl="7" w:tplc="918042E0">
      <w:start w:val="1"/>
      <w:numFmt w:val="bullet"/>
      <w:lvlText w:val="•"/>
      <w:lvlJc w:val="left"/>
      <w:rPr>
        <w:rFonts w:hint="default"/>
      </w:rPr>
    </w:lvl>
    <w:lvl w:ilvl="8" w:tplc="D5B411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804437"/>
    <w:multiLevelType w:val="hybridMultilevel"/>
    <w:tmpl w:val="01740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834"/>
    <w:multiLevelType w:val="hybridMultilevel"/>
    <w:tmpl w:val="EB9661A8"/>
    <w:lvl w:ilvl="0" w:tplc="04180013">
      <w:start w:val="1"/>
      <w:numFmt w:val="upperRoman"/>
      <w:lvlText w:val="%1."/>
      <w:lvlJc w:val="right"/>
      <w:pPr>
        <w:ind w:hanging="360"/>
      </w:pPr>
      <w:rPr>
        <w:rFonts w:hint="default"/>
        <w:b/>
        <w:bCs/>
        <w:spacing w:val="-1"/>
        <w:sz w:val="22"/>
        <w:szCs w:val="22"/>
      </w:rPr>
    </w:lvl>
    <w:lvl w:ilvl="1" w:tplc="59E8A06A">
      <w:start w:val="1"/>
      <w:numFmt w:val="bullet"/>
      <w:lvlText w:val="•"/>
      <w:lvlJc w:val="left"/>
      <w:rPr>
        <w:rFonts w:hint="default"/>
      </w:rPr>
    </w:lvl>
    <w:lvl w:ilvl="2" w:tplc="84424896">
      <w:start w:val="1"/>
      <w:numFmt w:val="bullet"/>
      <w:lvlText w:val="•"/>
      <w:lvlJc w:val="left"/>
      <w:rPr>
        <w:rFonts w:hint="default"/>
      </w:rPr>
    </w:lvl>
    <w:lvl w:ilvl="3" w:tplc="FDB81F2A">
      <w:start w:val="1"/>
      <w:numFmt w:val="bullet"/>
      <w:lvlText w:val="•"/>
      <w:lvlJc w:val="left"/>
      <w:rPr>
        <w:rFonts w:hint="default"/>
      </w:rPr>
    </w:lvl>
    <w:lvl w:ilvl="4" w:tplc="0F3E37CE">
      <w:start w:val="1"/>
      <w:numFmt w:val="bullet"/>
      <w:lvlText w:val="•"/>
      <w:lvlJc w:val="left"/>
      <w:rPr>
        <w:rFonts w:hint="default"/>
      </w:rPr>
    </w:lvl>
    <w:lvl w:ilvl="5" w:tplc="560EABD2">
      <w:start w:val="1"/>
      <w:numFmt w:val="bullet"/>
      <w:lvlText w:val="•"/>
      <w:lvlJc w:val="left"/>
      <w:rPr>
        <w:rFonts w:hint="default"/>
      </w:rPr>
    </w:lvl>
    <w:lvl w:ilvl="6" w:tplc="362A45F8">
      <w:start w:val="1"/>
      <w:numFmt w:val="bullet"/>
      <w:lvlText w:val="•"/>
      <w:lvlJc w:val="left"/>
      <w:rPr>
        <w:rFonts w:hint="default"/>
      </w:rPr>
    </w:lvl>
    <w:lvl w:ilvl="7" w:tplc="918042E0">
      <w:start w:val="1"/>
      <w:numFmt w:val="bullet"/>
      <w:lvlText w:val="•"/>
      <w:lvlJc w:val="left"/>
      <w:rPr>
        <w:rFonts w:hint="default"/>
      </w:rPr>
    </w:lvl>
    <w:lvl w:ilvl="8" w:tplc="D5B411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75226A"/>
    <w:multiLevelType w:val="hybridMultilevel"/>
    <w:tmpl w:val="01B2654E"/>
    <w:lvl w:ilvl="0" w:tplc="04180013">
      <w:start w:val="1"/>
      <w:numFmt w:val="upperRoman"/>
      <w:lvlText w:val="%1."/>
      <w:lvlJc w:val="right"/>
      <w:pPr>
        <w:ind w:hanging="360"/>
      </w:pPr>
      <w:rPr>
        <w:rFonts w:hint="default"/>
        <w:spacing w:val="-1"/>
        <w:sz w:val="22"/>
        <w:szCs w:val="22"/>
      </w:rPr>
    </w:lvl>
    <w:lvl w:ilvl="1" w:tplc="8AD6A906">
      <w:start w:val="1"/>
      <w:numFmt w:val="bullet"/>
      <w:lvlText w:val="•"/>
      <w:lvlJc w:val="left"/>
      <w:rPr>
        <w:rFonts w:hint="default"/>
      </w:rPr>
    </w:lvl>
    <w:lvl w:ilvl="2" w:tplc="E3107F64">
      <w:start w:val="1"/>
      <w:numFmt w:val="bullet"/>
      <w:lvlText w:val="•"/>
      <w:lvlJc w:val="left"/>
      <w:rPr>
        <w:rFonts w:hint="default"/>
      </w:rPr>
    </w:lvl>
    <w:lvl w:ilvl="3" w:tplc="97CC1A1C">
      <w:start w:val="1"/>
      <w:numFmt w:val="bullet"/>
      <w:lvlText w:val="•"/>
      <w:lvlJc w:val="left"/>
      <w:rPr>
        <w:rFonts w:hint="default"/>
      </w:rPr>
    </w:lvl>
    <w:lvl w:ilvl="4" w:tplc="08EA4382">
      <w:start w:val="1"/>
      <w:numFmt w:val="bullet"/>
      <w:lvlText w:val="•"/>
      <w:lvlJc w:val="left"/>
      <w:rPr>
        <w:rFonts w:hint="default"/>
      </w:rPr>
    </w:lvl>
    <w:lvl w:ilvl="5" w:tplc="3EF00E3E">
      <w:start w:val="1"/>
      <w:numFmt w:val="bullet"/>
      <w:lvlText w:val="•"/>
      <w:lvlJc w:val="left"/>
      <w:rPr>
        <w:rFonts w:hint="default"/>
      </w:rPr>
    </w:lvl>
    <w:lvl w:ilvl="6" w:tplc="B234FDD6">
      <w:start w:val="1"/>
      <w:numFmt w:val="bullet"/>
      <w:lvlText w:val="•"/>
      <w:lvlJc w:val="left"/>
      <w:rPr>
        <w:rFonts w:hint="default"/>
      </w:rPr>
    </w:lvl>
    <w:lvl w:ilvl="7" w:tplc="8FA401CC">
      <w:start w:val="1"/>
      <w:numFmt w:val="bullet"/>
      <w:lvlText w:val="•"/>
      <w:lvlJc w:val="left"/>
      <w:rPr>
        <w:rFonts w:hint="default"/>
      </w:rPr>
    </w:lvl>
    <w:lvl w:ilvl="8" w:tplc="64F8F16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4"/>
    <w:rsid w:val="00015D7E"/>
    <w:rsid w:val="00027FAC"/>
    <w:rsid w:val="000750CA"/>
    <w:rsid w:val="00083A13"/>
    <w:rsid w:val="0008474C"/>
    <w:rsid w:val="00090CA6"/>
    <w:rsid w:val="000926DC"/>
    <w:rsid w:val="000A5D63"/>
    <w:rsid w:val="000D72BD"/>
    <w:rsid w:val="0011747B"/>
    <w:rsid w:val="00123322"/>
    <w:rsid w:val="00143A70"/>
    <w:rsid w:val="00160061"/>
    <w:rsid w:val="0016217B"/>
    <w:rsid w:val="001D2332"/>
    <w:rsid w:val="001E3DF8"/>
    <w:rsid w:val="001E4838"/>
    <w:rsid w:val="00210300"/>
    <w:rsid w:val="00225689"/>
    <w:rsid w:val="00232B94"/>
    <w:rsid w:val="002440E1"/>
    <w:rsid w:val="00255224"/>
    <w:rsid w:val="0026600A"/>
    <w:rsid w:val="002C32C9"/>
    <w:rsid w:val="002C6E70"/>
    <w:rsid w:val="002F7FAD"/>
    <w:rsid w:val="00323C36"/>
    <w:rsid w:val="00325839"/>
    <w:rsid w:val="0033091C"/>
    <w:rsid w:val="003525AF"/>
    <w:rsid w:val="00373B8C"/>
    <w:rsid w:val="00374AB5"/>
    <w:rsid w:val="00391E51"/>
    <w:rsid w:val="0039613F"/>
    <w:rsid w:val="003A763A"/>
    <w:rsid w:val="003E39CF"/>
    <w:rsid w:val="00446A0D"/>
    <w:rsid w:val="00446FC6"/>
    <w:rsid w:val="004614B2"/>
    <w:rsid w:val="00485181"/>
    <w:rsid w:val="004A496E"/>
    <w:rsid w:val="004B185C"/>
    <w:rsid w:val="00530D0A"/>
    <w:rsid w:val="00564841"/>
    <w:rsid w:val="005677B6"/>
    <w:rsid w:val="0058278B"/>
    <w:rsid w:val="00587DDF"/>
    <w:rsid w:val="005927C4"/>
    <w:rsid w:val="005D4146"/>
    <w:rsid w:val="0060216F"/>
    <w:rsid w:val="006244CA"/>
    <w:rsid w:val="006356A7"/>
    <w:rsid w:val="00647919"/>
    <w:rsid w:val="006B6BDD"/>
    <w:rsid w:val="006E3DFB"/>
    <w:rsid w:val="007207D5"/>
    <w:rsid w:val="00724CB4"/>
    <w:rsid w:val="00731EC9"/>
    <w:rsid w:val="007838EC"/>
    <w:rsid w:val="007853B3"/>
    <w:rsid w:val="007A3950"/>
    <w:rsid w:val="007F14C7"/>
    <w:rsid w:val="007F26EA"/>
    <w:rsid w:val="00833AB7"/>
    <w:rsid w:val="008352A8"/>
    <w:rsid w:val="0084152C"/>
    <w:rsid w:val="008425D0"/>
    <w:rsid w:val="00882886"/>
    <w:rsid w:val="008A08B4"/>
    <w:rsid w:val="008B466F"/>
    <w:rsid w:val="008C43D6"/>
    <w:rsid w:val="008D5874"/>
    <w:rsid w:val="0093187D"/>
    <w:rsid w:val="00936874"/>
    <w:rsid w:val="00956025"/>
    <w:rsid w:val="00962DB5"/>
    <w:rsid w:val="00981ED2"/>
    <w:rsid w:val="009A6605"/>
    <w:rsid w:val="009B4D84"/>
    <w:rsid w:val="009E4A84"/>
    <w:rsid w:val="009F3A71"/>
    <w:rsid w:val="009F638D"/>
    <w:rsid w:val="009F70A0"/>
    <w:rsid w:val="00A32759"/>
    <w:rsid w:val="00A34AF3"/>
    <w:rsid w:val="00A56398"/>
    <w:rsid w:val="00A6472E"/>
    <w:rsid w:val="00AC1F18"/>
    <w:rsid w:val="00AD17C0"/>
    <w:rsid w:val="00AE07B6"/>
    <w:rsid w:val="00AE303A"/>
    <w:rsid w:val="00B12710"/>
    <w:rsid w:val="00B66B65"/>
    <w:rsid w:val="00B82602"/>
    <w:rsid w:val="00B93774"/>
    <w:rsid w:val="00B94035"/>
    <w:rsid w:val="00B97D1A"/>
    <w:rsid w:val="00BB6E04"/>
    <w:rsid w:val="00BD75C3"/>
    <w:rsid w:val="00BE7B9C"/>
    <w:rsid w:val="00C1548E"/>
    <w:rsid w:val="00C26884"/>
    <w:rsid w:val="00C60DE9"/>
    <w:rsid w:val="00C76118"/>
    <w:rsid w:val="00C97A02"/>
    <w:rsid w:val="00CC5E40"/>
    <w:rsid w:val="00CC7B63"/>
    <w:rsid w:val="00CE4400"/>
    <w:rsid w:val="00CE66C5"/>
    <w:rsid w:val="00CE7966"/>
    <w:rsid w:val="00D10EC2"/>
    <w:rsid w:val="00D457AC"/>
    <w:rsid w:val="00D53D93"/>
    <w:rsid w:val="00D73568"/>
    <w:rsid w:val="00D9633D"/>
    <w:rsid w:val="00DB4B8B"/>
    <w:rsid w:val="00DD2BD0"/>
    <w:rsid w:val="00DD4D40"/>
    <w:rsid w:val="00DF7065"/>
    <w:rsid w:val="00E05B6F"/>
    <w:rsid w:val="00E24A3A"/>
    <w:rsid w:val="00E40BB9"/>
    <w:rsid w:val="00E53DA8"/>
    <w:rsid w:val="00E775CE"/>
    <w:rsid w:val="00E872F6"/>
    <w:rsid w:val="00ED6C44"/>
    <w:rsid w:val="00ED7349"/>
    <w:rsid w:val="00F00FD3"/>
    <w:rsid w:val="00F0613F"/>
    <w:rsid w:val="00F42971"/>
    <w:rsid w:val="00F95D18"/>
    <w:rsid w:val="00FD15A7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A9D6"/>
  <w15:docId w15:val="{9C01E599-82D4-4845-8CD6-D867137F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D5874"/>
    <w:pPr>
      <w:widowControl w:val="0"/>
      <w:spacing w:before="1" w:after="0" w:line="240" w:lineRule="auto"/>
      <w:ind w:left="491"/>
      <w:outlineLvl w:val="0"/>
    </w:pPr>
    <w:rPr>
      <w:rFonts w:ascii="Myriad Pro" w:eastAsia="Myriad Pro" w:hAnsi="Myriad Pro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D5874"/>
    <w:pPr>
      <w:widowControl w:val="0"/>
      <w:spacing w:after="0" w:line="240" w:lineRule="auto"/>
      <w:ind w:left="271"/>
      <w:outlineLvl w:val="1"/>
    </w:pPr>
    <w:rPr>
      <w:rFonts w:ascii="Myriad Pro" w:eastAsia="Myriad Pro" w:hAnsi="Myriad Pro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6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5874"/>
    <w:rPr>
      <w:rFonts w:ascii="Myriad Pro" w:eastAsia="Myriad Pro" w:hAnsi="Myriad Pro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D5874"/>
    <w:rPr>
      <w:rFonts w:ascii="Myriad Pro" w:eastAsia="Myriad Pro" w:hAnsi="Myriad Pro"/>
      <w:b/>
      <w:bCs/>
      <w:lang w:val="en-US"/>
    </w:rPr>
  </w:style>
  <w:style w:type="character" w:styleId="Strong">
    <w:name w:val="Strong"/>
    <w:uiPriority w:val="22"/>
    <w:qFormat/>
    <w:rsid w:val="008D587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5874"/>
    <w:pPr>
      <w:widowControl w:val="0"/>
      <w:spacing w:after="0" w:line="240" w:lineRule="auto"/>
      <w:ind w:left="270" w:hanging="360"/>
    </w:pPr>
    <w:rPr>
      <w:rFonts w:ascii="Myriad Pro" w:eastAsia="Myriad Pro" w:hAnsi="Myriad Pr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5874"/>
    <w:rPr>
      <w:rFonts w:ascii="Myriad Pro" w:eastAsia="Myriad Pro" w:hAnsi="Myriad Pr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874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874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5D63"/>
  </w:style>
  <w:style w:type="paragraph" w:styleId="Footer">
    <w:name w:val="footer"/>
    <w:basedOn w:val="Normal"/>
    <w:link w:val="FooterChar"/>
    <w:uiPriority w:val="99"/>
    <w:unhideWhenUsed/>
    <w:rsid w:val="000A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63"/>
  </w:style>
  <w:style w:type="paragraph" w:styleId="NoSpacing">
    <w:name w:val="No Spacing"/>
    <w:uiPriority w:val="1"/>
    <w:qFormat/>
    <w:rsid w:val="000A5D63"/>
    <w:pPr>
      <w:spacing w:after="0" w:line="240" w:lineRule="auto"/>
    </w:pPr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5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3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 Frecauteanu</dc:creator>
  <cp:lastModifiedBy>Tatiana Panfil</cp:lastModifiedBy>
  <cp:revision>3</cp:revision>
  <dcterms:created xsi:type="dcterms:W3CDTF">2017-04-19T11:39:00Z</dcterms:created>
  <dcterms:modified xsi:type="dcterms:W3CDTF">2017-04-19T11:39:00Z</dcterms:modified>
</cp:coreProperties>
</file>