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99" w:rsidRPr="0063126E" w:rsidRDefault="00571599" w:rsidP="00571599">
      <w:pPr>
        <w:jc w:val="right"/>
        <w:rPr>
          <w:rFonts w:ascii="Myriad Pro" w:hAnsi="Myriad Pro" w:cs="Calibri"/>
          <w:b/>
          <w:sz w:val="22"/>
          <w:szCs w:val="22"/>
        </w:rPr>
      </w:pPr>
      <w:r w:rsidRPr="0063126E">
        <w:rPr>
          <w:rFonts w:ascii="Myriad Pro" w:hAnsi="Myriad Pro" w:cs="Calibri"/>
          <w:b/>
          <w:sz w:val="22"/>
          <w:szCs w:val="22"/>
        </w:rPr>
        <w:t>Annex 2</w:t>
      </w:r>
    </w:p>
    <w:p w:rsidR="00571599" w:rsidRPr="0063126E" w:rsidRDefault="00571599" w:rsidP="00571599">
      <w:pPr>
        <w:jc w:val="center"/>
        <w:rPr>
          <w:rFonts w:ascii="Myriad Pro" w:hAnsi="Myriad Pro" w:cs="Calibri"/>
          <w:b/>
          <w:sz w:val="22"/>
          <w:szCs w:val="22"/>
        </w:rPr>
      </w:pPr>
      <w:r w:rsidRPr="0063126E">
        <w:rPr>
          <w:rFonts w:ascii="Myriad Pro" w:hAnsi="Myriad Pro" w:cs="Calibri"/>
          <w:b/>
          <w:sz w:val="22"/>
          <w:szCs w:val="22"/>
        </w:rPr>
        <w:t>FORM FOR SUBMITTING SUPPLIER’S QUOTATION</w:t>
      </w:r>
    </w:p>
    <w:p w:rsidR="00571599" w:rsidRPr="00571599" w:rsidRDefault="00571599" w:rsidP="00571599">
      <w:pPr>
        <w:jc w:val="center"/>
        <w:rPr>
          <w:rFonts w:ascii="Myriad Pro" w:hAnsi="Myriad Pro" w:cs="Calibri"/>
          <w:b/>
          <w:i/>
          <w:sz w:val="22"/>
          <w:szCs w:val="22"/>
        </w:rPr>
      </w:pPr>
      <w:r w:rsidRPr="0063126E">
        <w:rPr>
          <w:rFonts w:ascii="Myriad Pro" w:hAnsi="Myriad Pro" w:cs="Calibri"/>
          <w:b/>
          <w:i/>
          <w:sz w:val="22"/>
          <w:szCs w:val="22"/>
        </w:rPr>
        <w:t>(This Form must be submitted only using the Supplier’s Official Letterhead/Stationery</w:t>
      </w:r>
      <w:r w:rsidRPr="0063126E">
        <w:rPr>
          <w:rStyle w:val="FootnoteReference"/>
          <w:rFonts w:ascii="Myriad Pro" w:hAnsi="Myriad Pro" w:cs="Calibri"/>
          <w:b/>
          <w:i/>
          <w:sz w:val="22"/>
          <w:szCs w:val="22"/>
        </w:rPr>
        <w:footnoteReference w:id="1"/>
      </w:r>
      <w:r>
        <w:rPr>
          <w:rFonts w:ascii="Myriad Pro" w:hAnsi="Myriad Pro" w:cs="Calibri"/>
          <w:b/>
          <w:i/>
          <w:sz w:val="22"/>
          <w:szCs w:val="22"/>
        </w:rPr>
        <w:t>)</w:t>
      </w:r>
    </w:p>
    <w:p w:rsidR="00571599" w:rsidRPr="0063126E" w:rsidRDefault="00571599" w:rsidP="00571599">
      <w:pPr>
        <w:spacing w:before="120"/>
        <w:jc w:val="both"/>
        <w:rPr>
          <w:rFonts w:ascii="Myriad Pro" w:hAnsi="Myriad Pro" w:cs="Calibri"/>
          <w:snapToGrid w:val="0"/>
          <w:sz w:val="22"/>
          <w:szCs w:val="22"/>
        </w:rPr>
      </w:pPr>
      <w:r w:rsidRPr="0063126E">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EA1CF7">
        <w:rPr>
          <w:rFonts w:ascii="Myriad Pro" w:hAnsi="Myriad Pro"/>
          <w:b/>
          <w:sz w:val="22"/>
          <w:szCs w:val="22"/>
          <w:u w:val="single"/>
          <w:lang w:val="en-GB"/>
        </w:rPr>
        <w:t>“RfQ17/01514: Digitization of the archive of the Parliament of the Republic of Moldova”</w:t>
      </w:r>
      <w:r>
        <w:rPr>
          <w:rFonts w:ascii="Myriad Pro" w:hAnsi="Myriad Pro"/>
          <w:b/>
          <w:sz w:val="22"/>
          <w:szCs w:val="22"/>
          <w:u w:val="single"/>
          <w:lang w:val="en-GB"/>
        </w:rPr>
        <w:t>:</w:t>
      </w:r>
    </w:p>
    <w:p w:rsidR="00571599" w:rsidRPr="0063126E" w:rsidRDefault="00571599" w:rsidP="00571599">
      <w:pPr>
        <w:ind w:right="630"/>
        <w:jc w:val="both"/>
        <w:rPr>
          <w:rFonts w:ascii="Myriad Pro" w:hAnsi="Myriad Pro" w:cs="Calibri"/>
          <w:b/>
          <w:snapToGrid w:val="0"/>
          <w:sz w:val="22"/>
          <w:szCs w:val="22"/>
          <w:u w:val="single"/>
        </w:rPr>
      </w:pPr>
    </w:p>
    <w:p w:rsidR="00571599" w:rsidRPr="0063126E" w:rsidRDefault="00571599" w:rsidP="00571599">
      <w:pPr>
        <w:ind w:right="630"/>
        <w:jc w:val="both"/>
        <w:rPr>
          <w:rFonts w:ascii="Myriad Pro" w:hAnsi="Myriad Pro" w:cs="Calibri"/>
          <w:b/>
          <w:snapToGrid w:val="0"/>
          <w:sz w:val="22"/>
          <w:szCs w:val="22"/>
          <w:u w:val="single"/>
        </w:rPr>
      </w:pPr>
      <w:r w:rsidRPr="0063126E">
        <w:rPr>
          <w:rFonts w:ascii="Myriad Pro" w:hAnsi="Myriad Pro" w:cs="Calibri"/>
          <w:b/>
          <w:snapToGrid w:val="0"/>
          <w:sz w:val="22"/>
          <w:szCs w:val="22"/>
          <w:u w:val="single"/>
        </w:rPr>
        <w:t xml:space="preserve">TABLE 1: Offer to Supply </w:t>
      </w:r>
      <w:r>
        <w:rPr>
          <w:rFonts w:ascii="Myriad Pro" w:hAnsi="Myriad Pro" w:cs="Calibri"/>
          <w:b/>
          <w:snapToGrid w:val="0"/>
          <w:sz w:val="22"/>
          <w:szCs w:val="22"/>
          <w:u w:val="single"/>
        </w:rPr>
        <w:t>Services</w:t>
      </w:r>
      <w:r w:rsidRPr="0063126E">
        <w:rPr>
          <w:rFonts w:ascii="Myriad Pro" w:hAnsi="Myriad Pro" w:cs="Calibri"/>
          <w:b/>
          <w:snapToGrid w:val="0"/>
          <w:sz w:val="22"/>
          <w:szCs w:val="22"/>
          <w:u w:val="single"/>
        </w:rPr>
        <w:t xml:space="preserve"> Compliant with Technical Specifications and Requirements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245"/>
        <w:gridCol w:w="2410"/>
        <w:gridCol w:w="1701"/>
      </w:tblGrid>
      <w:tr w:rsidR="00571599" w:rsidRPr="00F23F36" w:rsidTr="00892F1F">
        <w:tc>
          <w:tcPr>
            <w:tcW w:w="596" w:type="dxa"/>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ind w:right="-113"/>
              <w:rPr>
                <w:rFonts w:ascii="Myriad Pro" w:hAnsi="Myriad Pro" w:cstheme="minorHAnsi"/>
                <w:b/>
                <w:sz w:val="22"/>
                <w:szCs w:val="22"/>
                <w:lang w:val="ro-RO"/>
              </w:rPr>
            </w:pPr>
            <w:r w:rsidRPr="00F23F36">
              <w:rPr>
                <w:rFonts w:ascii="Myriad Pro" w:hAnsi="Myriad Pro" w:cstheme="minorHAnsi"/>
                <w:b/>
                <w:sz w:val="22"/>
                <w:szCs w:val="22"/>
                <w:lang w:val="ro-RO"/>
              </w:rPr>
              <w:t>No.</w:t>
            </w:r>
          </w:p>
        </w:tc>
        <w:tc>
          <w:tcPr>
            <w:tcW w:w="5245" w:type="dxa"/>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rPr>
                <w:rFonts w:ascii="Myriad Pro" w:hAnsi="Myriad Pro" w:cstheme="minorHAnsi"/>
                <w:b/>
                <w:sz w:val="22"/>
                <w:szCs w:val="22"/>
                <w:lang w:val="ro-RO"/>
              </w:rPr>
            </w:pPr>
            <w:r w:rsidRPr="00F23F36">
              <w:rPr>
                <w:rFonts w:ascii="Myriad Pro" w:hAnsi="Myriad Pro" w:cstheme="minorHAnsi"/>
                <w:b/>
                <w:sz w:val="22"/>
                <w:szCs w:val="22"/>
                <w:lang w:val="ro-RO"/>
              </w:rPr>
              <w:t>Description/Specification of Services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1599" w:rsidRPr="00F23F36" w:rsidRDefault="00571599" w:rsidP="00892F1F">
            <w:pPr>
              <w:jc w:val="center"/>
              <w:rPr>
                <w:rFonts w:ascii="Myriad Pro" w:hAnsi="Myriad Pro" w:cstheme="minorHAnsi"/>
                <w:b/>
                <w:sz w:val="22"/>
                <w:szCs w:val="22"/>
                <w:lang w:val="ro-RO"/>
              </w:rPr>
            </w:pPr>
            <w:r w:rsidRPr="00F23F36">
              <w:rPr>
                <w:rFonts w:ascii="Myriad Pro" w:hAnsi="Myriad Pro" w:cstheme="minorHAnsi"/>
                <w:b/>
                <w:sz w:val="22"/>
                <w:szCs w:val="22"/>
                <w:lang w:val="ro-RO"/>
              </w:rPr>
              <w:t>Latest Delivery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1599" w:rsidRPr="00F23F36" w:rsidRDefault="00571599" w:rsidP="00892F1F">
            <w:pPr>
              <w:jc w:val="center"/>
              <w:rPr>
                <w:rFonts w:ascii="Myriad Pro" w:hAnsi="Myriad Pro" w:cstheme="minorHAnsi"/>
                <w:b/>
                <w:sz w:val="22"/>
                <w:szCs w:val="22"/>
                <w:lang w:val="ro-RO"/>
              </w:rPr>
            </w:pPr>
            <w:r w:rsidRPr="00F23F36">
              <w:rPr>
                <w:rFonts w:ascii="Myriad Pro" w:hAnsi="Myriad Pro" w:cstheme="minorHAnsi"/>
                <w:b/>
                <w:sz w:val="22"/>
                <w:szCs w:val="22"/>
                <w:lang w:val="ro-RO"/>
              </w:rPr>
              <w:t>Total Price per Item</w:t>
            </w:r>
            <w:r>
              <w:rPr>
                <w:rFonts w:ascii="Myriad Pro" w:hAnsi="Myriad Pro" w:cstheme="minorHAnsi"/>
                <w:b/>
                <w:sz w:val="22"/>
                <w:szCs w:val="22"/>
                <w:lang w:val="ro-RO"/>
              </w:rPr>
              <w:t xml:space="preserve">, USD </w:t>
            </w:r>
            <w:r w:rsidRPr="00F23F36">
              <w:rPr>
                <w:rFonts w:ascii="Myriad Pro" w:hAnsi="Myriad Pro" w:cstheme="minorHAnsi"/>
                <w:b/>
                <w:sz w:val="22"/>
                <w:szCs w:val="22"/>
                <w:lang w:val="ro-RO"/>
              </w:rPr>
              <w:t>(VAT 0%)</w:t>
            </w:r>
          </w:p>
        </w:tc>
      </w:tr>
      <w:tr w:rsidR="00571599" w:rsidRPr="00F23F36" w:rsidTr="00892F1F">
        <w:trPr>
          <w:trHeight w:val="491"/>
        </w:trPr>
        <w:tc>
          <w:tcPr>
            <w:tcW w:w="596" w:type="dxa"/>
            <w:tcBorders>
              <w:top w:val="single" w:sz="4" w:space="0" w:color="auto"/>
              <w:left w:val="single" w:sz="4" w:space="0" w:color="auto"/>
              <w:bottom w:val="single" w:sz="4" w:space="0" w:color="auto"/>
              <w:right w:val="single" w:sz="4" w:space="0" w:color="auto"/>
            </w:tcBorders>
          </w:tcPr>
          <w:p w:rsidR="00571599" w:rsidRPr="00F23F36" w:rsidRDefault="00571599" w:rsidP="00892F1F">
            <w:pPr>
              <w:ind w:right="-113"/>
              <w:rPr>
                <w:rFonts w:ascii="Myriad Pro" w:hAnsi="Myriad Pro" w:cstheme="minorHAnsi"/>
                <w:b/>
                <w:sz w:val="22"/>
                <w:szCs w:val="22"/>
                <w:lang w:val="ro-RO"/>
              </w:rPr>
            </w:pPr>
            <w:r w:rsidRPr="00F23F36">
              <w:rPr>
                <w:rFonts w:ascii="Myriad Pro" w:eastAsia="Calibri" w:hAnsi="Myriad Pro"/>
                <w:b/>
                <w:bCs/>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Cs/>
                <w:sz w:val="22"/>
                <w:szCs w:val="22"/>
              </w:rPr>
              <w:t>Inception Report, providing details for the requirements from Annex 1, developed</w:t>
            </w:r>
          </w:p>
        </w:tc>
        <w:tc>
          <w:tcPr>
            <w:tcW w:w="2410" w:type="dxa"/>
            <w:tcBorders>
              <w:top w:val="single" w:sz="4" w:space="0" w:color="auto"/>
              <w:left w:val="single" w:sz="4" w:space="0" w:color="auto"/>
              <w:bottom w:val="single" w:sz="4" w:space="0" w:color="auto"/>
              <w:right w:val="single" w:sz="4" w:space="0" w:color="auto"/>
            </w:tcBorders>
          </w:tcPr>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Cs/>
                <w:sz w:val="22"/>
                <w:szCs w:val="22"/>
              </w:rPr>
              <w:t>3 days from contract signature</w:t>
            </w:r>
          </w:p>
        </w:tc>
        <w:tc>
          <w:tcPr>
            <w:tcW w:w="1701" w:type="dxa"/>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jc w:val="center"/>
              <w:rPr>
                <w:rFonts w:ascii="Myriad Pro" w:hAnsi="Myriad Pro" w:cstheme="minorHAnsi"/>
                <w:b/>
                <w:sz w:val="22"/>
                <w:szCs w:val="22"/>
                <w:lang w:val="ro-RO"/>
              </w:rPr>
            </w:pPr>
          </w:p>
        </w:tc>
      </w:tr>
      <w:tr w:rsidR="00571599" w:rsidRPr="00F23F36" w:rsidTr="00892F1F">
        <w:tc>
          <w:tcPr>
            <w:tcW w:w="596" w:type="dxa"/>
            <w:tcBorders>
              <w:top w:val="single" w:sz="4" w:space="0" w:color="auto"/>
              <w:left w:val="single" w:sz="4" w:space="0" w:color="auto"/>
              <w:bottom w:val="single" w:sz="4" w:space="0" w:color="auto"/>
              <w:right w:val="single" w:sz="4" w:space="0" w:color="auto"/>
            </w:tcBorders>
          </w:tcPr>
          <w:p w:rsidR="00571599" w:rsidRPr="00F23F36" w:rsidRDefault="00571599" w:rsidP="00892F1F">
            <w:pPr>
              <w:ind w:right="74"/>
              <w:rPr>
                <w:rFonts w:ascii="Myriad Pro" w:hAnsi="Myriad Pro" w:cstheme="minorHAnsi"/>
                <w:b/>
                <w:sz w:val="22"/>
                <w:szCs w:val="22"/>
                <w:lang w:val="ro-RO"/>
              </w:rPr>
            </w:pPr>
            <w:r w:rsidRPr="00F23F36">
              <w:rPr>
                <w:rFonts w:ascii="Myriad Pro" w:eastAsia="Calibri" w:hAnsi="Myriad Pro"/>
                <w:b/>
                <w:bCs/>
                <w:sz w:val="22"/>
                <w:szCs w:val="22"/>
              </w:rPr>
              <w:t>2</w:t>
            </w:r>
          </w:p>
        </w:tc>
        <w:tc>
          <w:tcPr>
            <w:tcW w:w="5245" w:type="dxa"/>
            <w:tcBorders>
              <w:top w:val="single" w:sz="4" w:space="0" w:color="auto"/>
              <w:left w:val="single" w:sz="4" w:space="0" w:color="auto"/>
              <w:bottom w:val="single" w:sz="4" w:space="0" w:color="auto"/>
              <w:right w:val="single" w:sz="4" w:space="0" w:color="auto"/>
            </w:tcBorders>
            <w:hideMark/>
          </w:tcPr>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Cs/>
                <w:sz w:val="22"/>
                <w:szCs w:val="22"/>
              </w:rPr>
              <w:t xml:space="preserve">Report on demo project resulting in digitizing 10 000 pages (A4), including approved guidelines and workflows for post-processing, annotation with metadata, and ingestion into </w:t>
            </w:r>
            <w:r w:rsidRPr="00F23F36">
              <w:rPr>
                <w:rFonts w:ascii="Myriad Pro" w:hAnsi="Myriad Pro"/>
                <w:bCs/>
                <w:sz w:val="22"/>
                <w:szCs w:val="22"/>
                <w:lang w:val="en-GB"/>
              </w:rPr>
              <w:t>IR system</w:t>
            </w:r>
            <w:r w:rsidRPr="00F23F36">
              <w:rPr>
                <w:rFonts w:ascii="Myriad Pro" w:eastAsia="Calibri" w:hAnsi="Myriad Pro"/>
                <w:bCs/>
                <w:sz w:val="22"/>
                <w:szCs w:val="22"/>
              </w:rPr>
              <w:t>.</w:t>
            </w:r>
          </w:p>
        </w:tc>
        <w:tc>
          <w:tcPr>
            <w:tcW w:w="2410" w:type="dxa"/>
            <w:tcBorders>
              <w:top w:val="single" w:sz="4" w:space="0" w:color="auto"/>
              <w:left w:val="single" w:sz="4" w:space="0" w:color="auto"/>
              <w:right w:val="single" w:sz="4" w:space="0" w:color="auto"/>
            </w:tcBorders>
          </w:tcPr>
          <w:p w:rsidR="00571599" w:rsidRPr="00F23F36" w:rsidRDefault="00571599" w:rsidP="00892F1F">
            <w:pPr>
              <w:rPr>
                <w:rFonts w:ascii="Myriad Pro" w:hAnsi="Myriad Pro" w:cstheme="minorHAnsi"/>
                <w:sz w:val="22"/>
                <w:szCs w:val="22"/>
                <w:lang w:val="ro-RO"/>
              </w:rPr>
            </w:pPr>
            <w:r w:rsidRPr="00F23F36">
              <w:rPr>
                <w:rFonts w:ascii="Myriad Pro" w:eastAsia="Calibri" w:hAnsi="Myriad Pro"/>
                <w:bCs/>
                <w:sz w:val="22"/>
                <w:szCs w:val="22"/>
              </w:rPr>
              <w:t>1 month from contract signature</w:t>
            </w:r>
          </w:p>
        </w:tc>
        <w:tc>
          <w:tcPr>
            <w:tcW w:w="1701" w:type="dxa"/>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jc w:val="center"/>
              <w:rPr>
                <w:rFonts w:ascii="Myriad Pro" w:hAnsi="Myriad Pro" w:cstheme="minorHAnsi"/>
                <w:sz w:val="22"/>
                <w:szCs w:val="22"/>
                <w:lang w:val="ro-RO"/>
              </w:rPr>
            </w:pPr>
          </w:p>
        </w:tc>
      </w:tr>
      <w:tr w:rsidR="00571599" w:rsidRPr="00F23F36" w:rsidTr="00892F1F">
        <w:tc>
          <w:tcPr>
            <w:tcW w:w="596" w:type="dxa"/>
            <w:vMerge w:val="restart"/>
            <w:tcBorders>
              <w:top w:val="single" w:sz="4" w:space="0" w:color="auto"/>
              <w:left w:val="single" w:sz="4" w:space="0" w:color="auto"/>
              <w:right w:val="single" w:sz="4" w:space="0" w:color="auto"/>
            </w:tcBorders>
            <w:vAlign w:val="center"/>
          </w:tcPr>
          <w:p w:rsidR="00571599" w:rsidRPr="00F23F36" w:rsidRDefault="00571599" w:rsidP="00892F1F">
            <w:pPr>
              <w:ind w:right="74"/>
              <w:rPr>
                <w:rFonts w:ascii="Myriad Pro" w:hAnsi="Myriad Pro" w:cstheme="minorHAnsi"/>
                <w:b/>
                <w:sz w:val="22"/>
                <w:szCs w:val="22"/>
                <w:lang w:val="ro-RO"/>
              </w:rPr>
            </w:pPr>
            <w:r w:rsidRPr="00F23F36">
              <w:rPr>
                <w:rFonts w:ascii="Myriad Pro" w:hAnsi="Myriad Pro" w:cstheme="minorHAnsi"/>
                <w:b/>
                <w:sz w:val="22"/>
                <w:szCs w:val="22"/>
                <w:lang w:val="ro-RO"/>
              </w:rPr>
              <w:t>3</w:t>
            </w:r>
          </w:p>
        </w:tc>
        <w:tc>
          <w:tcPr>
            <w:tcW w:w="5245" w:type="dxa"/>
            <w:tcBorders>
              <w:top w:val="single" w:sz="4" w:space="0" w:color="auto"/>
              <w:left w:val="single" w:sz="4" w:space="0" w:color="auto"/>
              <w:bottom w:val="single" w:sz="4" w:space="0" w:color="auto"/>
              <w:right w:val="single" w:sz="4" w:space="0" w:color="auto"/>
            </w:tcBorders>
            <w:hideMark/>
          </w:tcPr>
          <w:p w:rsidR="00571599" w:rsidRPr="00F23F36" w:rsidRDefault="00571599" w:rsidP="00892F1F">
            <w:pPr>
              <w:rPr>
                <w:rFonts w:ascii="Myriad Pro" w:hAnsi="Myriad Pro"/>
                <w:bCs/>
                <w:sz w:val="22"/>
                <w:szCs w:val="22"/>
                <w:lang w:val="en-GB"/>
              </w:rPr>
            </w:pPr>
            <w:r w:rsidRPr="00F23F36">
              <w:rPr>
                <w:rFonts w:ascii="Myriad Pro" w:eastAsia="Calibri" w:hAnsi="Myriad Pro"/>
                <w:bCs/>
                <w:sz w:val="22"/>
                <w:szCs w:val="22"/>
              </w:rPr>
              <w:t xml:space="preserve">About 660.000 PRM pages (A4) are scanned, metadata entered, quality acceptance passed and ingested into </w:t>
            </w:r>
            <w:r w:rsidRPr="00F23F36">
              <w:rPr>
                <w:rFonts w:ascii="Myriad Pro" w:hAnsi="Myriad Pro"/>
                <w:bCs/>
                <w:sz w:val="22"/>
                <w:szCs w:val="22"/>
                <w:lang w:val="en-GB"/>
              </w:rPr>
              <w:t>IR system.</w:t>
            </w:r>
          </w:p>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Cs/>
                <w:sz w:val="22"/>
                <w:szCs w:val="22"/>
                <w:lang w:val="en-GB"/>
              </w:rPr>
              <w:t>*</w:t>
            </w:r>
            <w:r w:rsidRPr="00F23F36">
              <w:rPr>
                <w:rFonts w:ascii="Myriad Pro" w:eastAsia="Calibri" w:hAnsi="Myriad Pro"/>
                <w:b/>
                <w:bCs/>
                <w:i/>
                <w:sz w:val="22"/>
                <w:szCs w:val="22"/>
              </w:rPr>
              <w:t>It is important to highlight that this is the number of scanned, processed and stored pages and not the number of scanned acts or dossiers (each dossier contains 200-300 pages).</w:t>
            </w:r>
          </w:p>
        </w:tc>
        <w:tc>
          <w:tcPr>
            <w:tcW w:w="2410" w:type="dxa"/>
            <w:vMerge w:val="restart"/>
            <w:tcBorders>
              <w:left w:val="single" w:sz="4" w:space="0" w:color="auto"/>
              <w:right w:val="single" w:sz="4" w:space="0" w:color="auto"/>
            </w:tcBorders>
            <w:vAlign w:val="center"/>
          </w:tcPr>
          <w:p w:rsidR="00571599" w:rsidRPr="00F23F36" w:rsidRDefault="00571599" w:rsidP="00892F1F">
            <w:pPr>
              <w:rPr>
                <w:rFonts w:ascii="Myriad Pro" w:hAnsi="Myriad Pro" w:cstheme="minorHAnsi"/>
                <w:sz w:val="22"/>
                <w:szCs w:val="22"/>
                <w:lang w:val="ro-RO"/>
              </w:rPr>
            </w:pPr>
            <w:r w:rsidRPr="00F23F36">
              <w:rPr>
                <w:rFonts w:ascii="Myriad Pro" w:eastAsia="Calibri" w:hAnsi="Myriad Pro"/>
                <w:bCs/>
                <w:color w:val="000000"/>
                <w:sz w:val="22"/>
                <w:szCs w:val="22"/>
              </w:rPr>
              <w:t>5 months from contract signature</w:t>
            </w:r>
          </w:p>
        </w:tc>
        <w:tc>
          <w:tcPr>
            <w:tcW w:w="1701" w:type="dxa"/>
            <w:vMerge w:val="restart"/>
            <w:tcBorders>
              <w:top w:val="single" w:sz="4" w:space="0" w:color="auto"/>
              <w:left w:val="single" w:sz="4" w:space="0" w:color="auto"/>
              <w:right w:val="single" w:sz="4" w:space="0" w:color="auto"/>
            </w:tcBorders>
            <w:vAlign w:val="center"/>
          </w:tcPr>
          <w:p w:rsidR="00571599" w:rsidRPr="00F23F36" w:rsidRDefault="00571599" w:rsidP="00892F1F">
            <w:pPr>
              <w:jc w:val="center"/>
              <w:rPr>
                <w:rFonts w:ascii="Myriad Pro" w:hAnsi="Myriad Pro" w:cstheme="minorHAnsi"/>
                <w:sz w:val="22"/>
                <w:szCs w:val="22"/>
                <w:lang w:val="ro-RO"/>
              </w:rPr>
            </w:pPr>
          </w:p>
        </w:tc>
      </w:tr>
      <w:tr w:rsidR="00571599" w:rsidRPr="00F23F36" w:rsidTr="00892F1F">
        <w:tc>
          <w:tcPr>
            <w:tcW w:w="596" w:type="dxa"/>
            <w:vMerge/>
            <w:tcBorders>
              <w:left w:val="single" w:sz="4" w:space="0" w:color="auto"/>
              <w:right w:val="single" w:sz="4" w:space="0" w:color="auto"/>
            </w:tcBorders>
            <w:vAlign w:val="center"/>
          </w:tcPr>
          <w:p w:rsidR="00571599" w:rsidRPr="00F23F36" w:rsidRDefault="00571599" w:rsidP="00892F1F">
            <w:pPr>
              <w:ind w:right="74"/>
              <w:rPr>
                <w:rFonts w:ascii="Myriad Pro" w:hAnsi="Myriad Pro" w:cstheme="minorHAnsi"/>
                <w:b/>
                <w:sz w:val="22"/>
                <w:szCs w:val="22"/>
                <w:lang w:val="ro-RO"/>
              </w:rPr>
            </w:pPr>
          </w:p>
        </w:tc>
        <w:tc>
          <w:tcPr>
            <w:tcW w:w="5245" w:type="dxa"/>
            <w:tcBorders>
              <w:top w:val="single" w:sz="4" w:space="0" w:color="auto"/>
              <w:left w:val="single" w:sz="4" w:space="0" w:color="auto"/>
              <w:bottom w:val="single" w:sz="4" w:space="0" w:color="auto"/>
              <w:right w:val="single" w:sz="4" w:space="0" w:color="auto"/>
            </w:tcBorders>
            <w:hideMark/>
          </w:tcPr>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Cs/>
                <w:sz w:val="22"/>
                <w:szCs w:val="22"/>
              </w:rPr>
              <w:t>Scanned images are processed and saved in compressed PDF/A for each document image; metadata annotated.</w:t>
            </w:r>
          </w:p>
        </w:tc>
        <w:tc>
          <w:tcPr>
            <w:tcW w:w="2410" w:type="dxa"/>
            <w:vMerge/>
            <w:tcBorders>
              <w:left w:val="single" w:sz="4" w:space="0" w:color="auto"/>
              <w:right w:val="single" w:sz="4" w:space="0" w:color="auto"/>
            </w:tcBorders>
          </w:tcPr>
          <w:p w:rsidR="00571599" w:rsidRPr="00F23F36" w:rsidRDefault="00571599" w:rsidP="00892F1F">
            <w:pPr>
              <w:rPr>
                <w:rFonts w:ascii="Myriad Pro" w:hAnsi="Myriad Pro" w:cstheme="minorHAnsi"/>
                <w:sz w:val="22"/>
                <w:szCs w:val="22"/>
                <w:lang w:val="ro-RO"/>
              </w:rPr>
            </w:pPr>
          </w:p>
        </w:tc>
        <w:tc>
          <w:tcPr>
            <w:tcW w:w="1701" w:type="dxa"/>
            <w:vMerge/>
            <w:tcBorders>
              <w:left w:val="single" w:sz="4" w:space="0" w:color="auto"/>
              <w:right w:val="single" w:sz="4" w:space="0" w:color="auto"/>
            </w:tcBorders>
            <w:vAlign w:val="center"/>
          </w:tcPr>
          <w:p w:rsidR="00571599" w:rsidRPr="00F23F36" w:rsidRDefault="00571599" w:rsidP="00892F1F">
            <w:pPr>
              <w:jc w:val="center"/>
              <w:rPr>
                <w:rFonts w:ascii="Myriad Pro" w:hAnsi="Myriad Pro" w:cstheme="minorHAnsi"/>
                <w:sz w:val="22"/>
                <w:szCs w:val="22"/>
                <w:lang w:val="ro-RO"/>
              </w:rPr>
            </w:pPr>
          </w:p>
        </w:tc>
      </w:tr>
      <w:tr w:rsidR="00571599" w:rsidRPr="00F23F36" w:rsidTr="00892F1F">
        <w:tc>
          <w:tcPr>
            <w:tcW w:w="596" w:type="dxa"/>
            <w:vMerge/>
            <w:tcBorders>
              <w:left w:val="single" w:sz="4" w:space="0" w:color="auto"/>
              <w:bottom w:val="single" w:sz="4" w:space="0" w:color="auto"/>
              <w:right w:val="single" w:sz="4" w:space="0" w:color="auto"/>
            </w:tcBorders>
            <w:vAlign w:val="center"/>
          </w:tcPr>
          <w:p w:rsidR="00571599" w:rsidRPr="00F23F36" w:rsidRDefault="00571599" w:rsidP="00892F1F">
            <w:pPr>
              <w:ind w:right="74"/>
              <w:rPr>
                <w:rFonts w:ascii="Myriad Pro" w:hAnsi="Myriad Pro" w:cstheme="minorHAnsi"/>
                <w:b/>
                <w:sz w:val="22"/>
                <w:szCs w:val="22"/>
                <w:lang w:val="ro-RO"/>
              </w:rPr>
            </w:pPr>
          </w:p>
        </w:tc>
        <w:tc>
          <w:tcPr>
            <w:tcW w:w="5245" w:type="dxa"/>
            <w:tcBorders>
              <w:top w:val="single" w:sz="4" w:space="0" w:color="auto"/>
              <w:left w:val="single" w:sz="4" w:space="0" w:color="auto"/>
              <w:bottom w:val="single" w:sz="4" w:space="0" w:color="auto"/>
              <w:right w:val="single" w:sz="4" w:space="0" w:color="auto"/>
            </w:tcBorders>
            <w:hideMark/>
          </w:tcPr>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Cs/>
                <w:sz w:val="22"/>
                <w:szCs w:val="22"/>
              </w:rPr>
              <w:t>Daily report on number of acts ready for quality assurance process by the Beneficiary.</w:t>
            </w:r>
          </w:p>
        </w:tc>
        <w:tc>
          <w:tcPr>
            <w:tcW w:w="2410" w:type="dxa"/>
            <w:vMerge/>
            <w:tcBorders>
              <w:left w:val="single" w:sz="4" w:space="0" w:color="auto"/>
              <w:right w:val="single" w:sz="4" w:space="0" w:color="auto"/>
            </w:tcBorders>
          </w:tcPr>
          <w:p w:rsidR="00571599" w:rsidRPr="00F23F36" w:rsidRDefault="00571599" w:rsidP="00892F1F">
            <w:pPr>
              <w:rPr>
                <w:rFonts w:ascii="Myriad Pro" w:hAnsi="Myriad Pro" w:cstheme="minorHAnsi"/>
                <w:sz w:val="22"/>
                <w:szCs w:val="22"/>
                <w:lang w:val="ro-RO"/>
              </w:rPr>
            </w:pPr>
          </w:p>
        </w:tc>
        <w:tc>
          <w:tcPr>
            <w:tcW w:w="1701" w:type="dxa"/>
            <w:vMerge/>
            <w:tcBorders>
              <w:left w:val="single" w:sz="4" w:space="0" w:color="auto"/>
              <w:bottom w:val="single" w:sz="4" w:space="0" w:color="auto"/>
              <w:right w:val="single" w:sz="4" w:space="0" w:color="auto"/>
            </w:tcBorders>
            <w:vAlign w:val="center"/>
          </w:tcPr>
          <w:p w:rsidR="00571599" w:rsidRPr="00F23F36" w:rsidRDefault="00571599" w:rsidP="00892F1F">
            <w:pPr>
              <w:jc w:val="center"/>
              <w:rPr>
                <w:rFonts w:ascii="Myriad Pro" w:hAnsi="Myriad Pro" w:cstheme="minorHAnsi"/>
                <w:sz w:val="22"/>
                <w:szCs w:val="22"/>
                <w:lang w:val="ro-RO"/>
              </w:rPr>
            </w:pPr>
          </w:p>
        </w:tc>
      </w:tr>
      <w:tr w:rsidR="00571599" w:rsidRPr="00F23F36" w:rsidTr="00892F1F">
        <w:tc>
          <w:tcPr>
            <w:tcW w:w="596" w:type="dxa"/>
            <w:tcBorders>
              <w:top w:val="single" w:sz="4" w:space="0" w:color="auto"/>
              <w:left w:val="single" w:sz="4" w:space="0" w:color="auto"/>
              <w:bottom w:val="single" w:sz="4" w:space="0" w:color="auto"/>
              <w:right w:val="single" w:sz="4" w:space="0" w:color="auto"/>
            </w:tcBorders>
          </w:tcPr>
          <w:p w:rsidR="00571599" w:rsidRPr="00F23F36" w:rsidRDefault="00571599" w:rsidP="00892F1F">
            <w:pPr>
              <w:ind w:right="74"/>
              <w:rPr>
                <w:rFonts w:ascii="Myriad Pro" w:hAnsi="Myriad Pro" w:cstheme="minorHAnsi"/>
                <w:b/>
                <w:sz w:val="22"/>
                <w:szCs w:val="22"/>
                <w:lang w:val="ro-RO"/>
              </w:rPr>
            </w:pPr>
            <w:r w:rsidRPr="00F23F36">
              <w:rPr>
                <w:rFonts w:ascii="Myriad Pro" w:eastAsia="Calibri" w:hAnsi="Myriad Pro"/>
                <w:b/>
                <w:bCs/>
                <w:sz w:val="22"/>
                <w:szCs w:val="22"/>
              </w:rPr>
              <w:t>4</w:t>
            </w:r>
          </w:p>
        </w:tc>
        <w:tc>
          <w:tcPr>
            <w:tcW w:w="5245" w:type="dxa"/>
            <w:tcBorders>
              <w:top w:val="single" w:sz="4" w:space="0" w:color="auto"/>
              <w:left w:val="single" w:sz="4" w:space="0" w:color="auto"/>
              <w:bottom w:val="single" w:sz="4" w:space="0" w:color="auto"/>
              <w:right w:val="single" w:sz="4" w:space="0" w:color="auto"/>
            </w:tcBorders>
            <w:hideMark/>
          </w:tcPr>
          <w:p w:rsidR="00571599" w:rsidRPr="00F23F36" w:rsidRDefault="00571599" w:rsidP="00892F1F">
            <w:pPr>
              <w:rPr>
                <w:rFonts w:ascii="Myriad Pro" w:hAnsi="Myriad Pro" w:cstheme="minorHAnsi"/>
                <w:b/>
                <w:sz w:val="22"/>
                <w:szCs w:val="22"/>
                <w:lang w:val="ro-RO"/>
              </w:rPr>
            </w:pPr>
            <w:r w:rsidRPr="00F23F36">
              <w:rPr>
                <w:rFonts w:ascii="Myriad Pro" w:eastAsia="Calibri" w:hAnsi="Myriad Pro"/>
                <w:b/>
                <w:bCs/>
                <w:sz w:val="22"/>
                <w:szCs w:val="22"/>
              </w:rPr>
              <w:t>Final report</w:t>
            </w:r>
          </w:p>
        </w:tc>
        <w:tc>
          <w:tcPr>
            <w:tcW w:w="2410" w:type="dxa"/>
            <w:tcBorders>
              <w:left w:val="single" w:sz="4" w:space="0" w:color="auto"/>
              <w:bottom w:val="single" w:sz="4" w:space="0" w:color="auto"/>
              <w:right w:val="single" w:sz="4" w:space="0" w:color="auto"/>
            </w:tcBorders>
          </w:tcPr>
          <w:p w:rsidR="00571599" w:rsidRPr="00F23F36" w:rsidRDefault="00571599" w:rsidP="00892F1F">
            <w:pPr>
              <w:rPr>
                <w:rFonts w:ascii="Myriad Pro" w:hAnsi="Myriad Pro" w:cstheme="minorHAnsi"/>
                <w:sz w:val="22"/>
                <w:szCs w:val="22"/>
                <w:lang w:val="ro-RO"/>
              </w:rPr>
            </w:pPr>
            <w:r w:rsidRPr="00F23F36">
              <w:rPr>
                <w:rFonts w:ascii="Myriad Pro" w:eastAsia="Calibri" w:hAnsi="Myriad Pro"/>
                <w:bCs/>
                <w:sz w:val="22"/>
                <w:szCs w:val="22"/>
              </w:rPr>
              <w:t>10 working days after completion of the assignment.</w:t>
            </w:r>
          </w:p>
        </w:tc>
        <w:tc>
          <w:tcPr>
            <w:tcW w:w="1701" w:type="dxa"/>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jc w:val="center"/>
              <w:rPr>
                <w:rFonts w:ascii="Myriad Pro" w:hAnsi="Myriad Pro" w:cstheme="minorHAnsi"/>
                <w:sz w:val="22"/>
                <w:szCs w:val="22"/>
                <w:lang w:val="ro-RO"/>
              </w:rPr>
            </w:pPr>
          </w:p>
        </w:tc>
      </w:tr>
      <w:tr w:rsidR="00571599" w:rsidRPr="00F23F36" w:rsidTr="00892F1F">
        <w:trPr>
          <w:trHeight w:val="420"/>
        </w:trPr>
        <w:tc>
          <w:tcPr>
            <w:tcW w:w="596" w:type="dxa"/>
            <w:tcBorders>
              <w:top w:val="single" w:sz="4" w:space="0" w:color="auto"/>
              <w:left w:val="single" w:sz="4" w:space="0" w:color="auto"/>
              <w:bottom w:val="single" w:sz="4" w:space="0" w:color="auto"/>
              <w:right w:val="single" w:sz="4" w:space="0" w:color="auto"/>
            </w:tcBorders>
          </w:tcPr>
          <w:p w:rsidR="00571599" w:rsidRPr="00F23F36" w:rsidRDefault="00571599" w:rsidP="00892F1F">
            <w:pPr>
              <w:rPr>
                <w:rFonts w:ascii="Myriad Pro" w:hAnsi="Myriad Pro" w:cstheme="minorHAnsi"/>
                <w:b/>
                <w:sz w:val="22"/>
                <w:szCs w:val="22"/>
                <w:lang w:val="ro-RO"/>
              </w:rPr>
            </w:pP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jc w:val="right"/>
              <w:rPr>
                <w:rFonts w:ascii="Myriad Pro" w:hAnsi="Myriad Pro" w:cstheme="minorHAnsi"/>
                <w:b/>
                <w:sz w:val="22"/>
                <w:szCs w:val="22"/>
                <w:lang w:val="ro-RO"/>
              </w:rPr>
            </w:pPr>
            <w:r w:rsidRPr="00F23F36">
              <w:rPr>
                <w:rFonts w:ascii="Myriad Pro" w:hAnsi="Myriad Pro" w:cstheme="minorHAnsi"/>
                <w:b/>
                <w:sz w:val="22"/>
                <w:szCs w:val="22"/>
                <w:lang w:val="ro-RO"/>
              </w:rPr>
              <w:t>Total Final and All-Inclusive Price Quotation</w:t>
            </w:r>
          </w:p>
        </w:tc>
        <w:tc>
          <w:tcPr>
            <w:tcW w:w="1701" w:type="dxa"/>
            <w:tcBorders>
              <w:top w:val="single" w:sz="4" w:space="0" w:color="auto"/>
              <w:left w:val="single" w:sz="4" w:space="0" w:color="auto"/>
              <w:bottom w:val="single" w:sz="4" w:space="0" w:color="auto"/>
              <w:right w:val="single" w:sz="4" w:space="0" w:color="auto"/>
            </w:tcBorders>
            <w:vAlign w:val="center"/>
          </w:tcPr>
          <w:p w:rsidR="00571599" w:rsidRPr="00F23F36" w:rsidRDefault="00571599" w:rsidP="00892F1F">
            <w:pPr>
              <w:jc w:val="center"/>
              <w:rPr>
                <w:rFonts w:ascii="Myriad Pro" w:hAnsi="Myriad Pro" w:cstheme="minorHAnsi"/>
                <w:sz w:val="22"/>
                <w:szCs w:val="22"/>
                <w:lang w:val="ro-RO"/>
              </w:rPr>
            </w:pPr>
          </w:p>
        </w:tc>
      </w:tr>
    </w:tbl>
    <w:p w:rsidR="00571599" w:rsidRPr="0063126E" w:rsidRDefault="00571599" w:rsidP="00571599">
      <w:pPr>
        <w:rPr>
          <w:rFonts w:ascii="Myriad Pro" w:hAnsi="Myriad Pro" w:cs="Calibri"/>
          <w:iCs/>
          <w:snapToGrid w:val="0"/>
          <w:sz w:val="22"/>
          <w:szCs w:val="22"/>
        </w:rPr>
      </w:pPr>
    </w:p>
    <w:p w:rsidR="00571599" w:rsidRPr="0063126E" w:rsidRDefault="00571599" w:rsidP="00571599">
      <w:pPr>
        <w:rPr>
          <w:rFonts w:ascii="Myriad Pro" w:hAnsi="Myriad Pro" w:cs="Calibri"/>
          <w:b/>
          <w:sz w:val="22"/>
          <w:szCs w:val="22"/>
          <w:u w:val="single"/>
        </w:rPr>
      </w:pPr>
      <w:r w:rsidRPr="0063126E">
        <w:rPr>
          <w:rFonts w:ascii="Myriad Pro" w:hAnsi="Myriad Pro" w:cs="Calibri"/>
          <w:b/>
          <w:sz w:val="22"/>
          <w:szCs w:val="22"/>
          <w:u w:val="single"/>
        </w:rPr>
        <w:t xml:space="preserve">TABLE 2: Offer to Comply with Other Conditions and Related Requirements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984"/>
        <w:gridCol w:w="1560"/>
        <w:gridCol w:w="1842"/>
      </w:tblGrid>
      <w:tr w:rsidR="00571599" w:rsidRPr="0063126E" w:rsidTr="00892F1F">
        <w:trPr>
          <w:trHeight w:val="383"/>
        </w:trPr>
        <w:tc>
          <w:tcPr>
            <w:tcW w:w="4707" w:type="dxa"/>
            <w:vMerge w:val="restart"/>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b/>
                <w:sz w:val="22"/>
                <w:szCs w:val="22"/>
              </w:rPr>
            </w:pPr>
            <w:r w:rsidRPr="0063126E">
              <w:rPr>
                <w:rFonts w:ascii="Myriad Pro" w:hAnsi="Myriad Pro" w:cs="Calibri"/>
                <w:b/>
                <w:sz w:val="22"/>
                <w:szCs w:val="22"/>
              </w:rPr>
              <w:t>Other Information pertaining to our Quotation are as follows:</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jc w:val="center"/>
              <w:rPr>
                <w:rFonts w:ascii="Myriad Pro" w:hAnsi="Myriad Pro" w:cs="Calibri"/>
                <w:b/>
                <w:sz w:val="22"/>
                <w:szCs w:val="22"/>
              </w:rPr>
            </w:pPr>
            <w:r w:rsidRPr="0063126E">
              <w:rPr>
                <w:rFonts w:ascii="Myriad Pro" w:hAnsi="Myriad Pro" w:cs="Calibri"/>
                <w:b/>
                <w:sz w:val="22"/>
                <w:szCs w:val="22"/>
              </w:rPr>
              <w:t>Your Responses</w:t>
            </w:r>
          </w:p>
        </w:tc>
      </w:tr>
      <w:tr w:rsidR="00571599" w:rsidRPr="0063126E" w:rsidTr="00892F1F">
        <w:trPr>
          <w:trHeight w:val="744"/>
        </w:trPr>
        <w:tc>
          <w:tcPr>
            <w:tcW w:w="4707" w:type="dxa"/>
            <w:vMerge/>
            <w:tcBorders>
              <w:top w:val="single" w:sz="4" w:space="0" w:color="auto"/>
              <w:left w:val="single" w:sz="4" w:space="0" w:color="auto"/>
              <w:bottom w:val="single" w:sz="4" w:space="0" w:color="auto"/>
              <w:right w:val="single" w:sz="4" w:space="0" w:color="auto"/>
            </w:tcBorders>
            <w:vAlign w:val="center"/>
            <w:hideMark/>
          </w:tcPr>
          <w:p w:rsidR="00571599" w:rsidRPr="0063126E" w:rsidRDefault="00571599" w:rsidP="00892F1F">
            <w:pPr>
              <w:rPr>
                <w:rFonts w:ascii="Myriad Pro" w:hAnsi="Myriad Pro" w:cs="Calibri"/>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71599" w:rsidRPr="0063126E" w:rsidRDefault="00571599" w:rsidP="00892F1F">
            <w:pPr>
              <w:rPr>
                <w:rFonts w:ascii="Myriad Pro" w:hAnsi="Myriad Pro" w:cs="Calibri"/>
                <w:b/>
                <w:i/>
                <w:sz w:val="22"/>
                <w:szCs w:val="22"/>
              </w:rPr>
            </w:pPr>
            <w:r w:rsidRPr="0063126E">
              <w:rPr>
                <w:rFonts w:ascii="Myriad Pro" w:hAnsi="Myriad Pro" w:cs="Calibri"/>
                <w:b/>
                <w:i/>
                <w:sz w:val="22"/>
                <w:szCs w:val="22"/>
              </w:rPr>
              <w:t>Yes, we will comply</w:t>
            </w:r>
          </w:p>
        </w:tc>
        <w:tc>
          <w:tcPr>
            <w:tcW w:w="1560" w:type="dxa"/>
            <w:tcBorders>
              <w:top w:val="single" w:sz="4" w:space="0" w:color="auto"/>
              <w:left w:val="single" w:sz="4" w:space="0" w:color="auto"/>
              <w:bottom w:val="single" w:sz="4" w:space="0" w:color="auto"/>
              <w:right w:val="single" w:sz="4" w:space="0" w:color="auto"/>
            </w:tcBorders>
            <w:vAlign w:val="center"/>
            <w:hideMark/>
          </w:tcPr>
          <w:p w:rsidR="00571599" w:rsidRPr="0063126E" w:rsidRDefault="00571599" w:rsidP="00892F1F">
            <w:pPr>
              <w:rPr>
                <w:rFonts w:ascii="Myriad Pro" w:hAnsi="Myriad Pro" w:cs="Calibri"/>
                <w:b/>
                <w:i/>
                <w:sz w:val="22"/>
                <w:szCs w:val="22"/>
              </w:rPr>
            </w:pPr>
            <w:r w:rsidRPr="0063126E">
              <w:rPr>
                <w:rFonts w:ascii="Myriad Pro" w:hAnsi="Myriad Pro" w:cs="Calibri"/>
                <w:b/>
                <w:i/>
                <w:sz w:val="22"/>
                <w:szCs w:val="22"/>
              </w:rPr>
              <w:t>No, we cannot comply</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1599" w:rsidRPr="0063126E" w:rsidRDefault="00571599" w:rsidP="00892F1F">
            <w:pPr>
              <w:rPr>
                <w:rFonts w:ascii="Myriad Pro" w:hAnsi="Myriad Pro" w:cs="Calibri"/>
                <w:b/>
                <w:i/>
                <w:sz w:val="22"/>
                <w:szCs w:val="22"/>
              </w:rPr>
            </w:pPr>
            <w:r w:rsidRPr="0063126E">
              <w:rPr>
                <w:rFonts w:ascii="Myriad Pro" w:hAnsi="Myriad Pro" w:cs="Calibri"/>
                <w:b/>
                <w:i/>
                <w:sz w:val="22"/>
                <w:szCs w:val="22"/>
              </w:rPr>
              <w:t>If you cannot comply, pls. indicate counter proposal</w:t>
            </w:r>
          </w:p>
        </w:tc>
      </w:tr>
      <w:tr w:rsidR="00571599" w:rsidRPr="0063126E" w:rsidTr="00892F1F">
        <w:trPr>
          <w:trHeight w:val="332"/>
        </w:trPr>
        <w:tc>
          <w:tcPr>
            <w:tcW w:w="4707" w:type="dxa"/>
            <w:tcBorders>
              <w:top w:val="single" w:sz="4" w:space="0" w:color="auto"/>
              <w:left w:val="single" w:sz="4" w:space="0" w:color="auto"/>
              <w:bottom w:val="single" w:sz="4" w:space="0" w:color="auto"/>
              <w:right w:val="nil"/>
            </w:tcBorders>
            <w:hideMark/>
          </w:tcPr>
          <w:p w:rsidR="00571599" w:rsidRPr="0063126E" w:rsidRDefault="00571599" w:rsidP="00892F1F">
            <w:pPr>
              <w:rPr>
                <w:rFonts w:ascii="Myriad Pro" w:hAnsi="Myriad Pro" w:cs="Calibri"/>
                <w:bCs/>
                <w:sz w:val="22"/>
                <w:szCs w:val="22"/>
              </w:rPr>
            </w:pPr>
            <w:r w:rsidRPr="0063126E">
              <w:rPr>
                <w:rFonts w:ascii="Myriad Pro" w:hAnsi="Myriad Pro" w:cs="Calibri"/>
                <w:bCs/>
                <w:sz w:val="22"/>
                <w:szCs w:val="22"/>
              </w:rPr>
              <w:t xml:space="preserve">Maximum period for </w:t>
            </w:r>
            <w:r>
              <w:rPr>
                <w:rFonts w:ascii="Myriad Pro" w:hAnsi="Myriad Pro" w:cs="Calibri"/>
                <w:bCs/>
                <w:sz w:val="22"/>
                <w:szCs w:val="22"/>
              </w:rPr>
              <w:t>performance</w:t>
            </w:r>
            <w:r w:rsidRPr="0063126E">
              <w:rPr>
                <w:rFonts w:ascii="Myriad Pro" w:hAnsi="Myriad Pro" w:cs="Calibri"/>
                <w:bCs/>
                <w:sz w:val="22"/>
                <w:szCs w:val="22"/>
              </w:rPr>
              <w:t xml:space="preserve"> of </w:t>
            </w:r>
            <w:r>
              <w:rPr>
                <w:rFonts w:ascii="Myriad Pro" w:hAnsi="Myriad Pro" w:cs="Calibri"/>
                <w:bCs/>
                <w:sz w:val="22"/>
                <w:szCs w:val="22"/>
              </w:rPr>
              <w:t>digitization</w:t>
            </w:r>
            <w:r w:rsidRPr="00105052">
              <w:rPr>
                <w:rFonts w:ascii="Myriad Pro" w:hAnsi="Myriad Pro" w:cs="Calibri"/>
                <w:bCs/>
                <w:sz w:val="22"/>
                <w:szCs w:val="22"/>
              </w:rPr>
              <w:t xml:space="preserve"> services </w:t>
            </w:r>
            <w:r w:rsidRPr="00F23F36">
              <w:rPr>
                <w:rFonts w:ascii="Myriad Pro" w:hAnsi="Myriad Pro" w:cs="Calibri"/>
                <w:bCs/>
                <w:sz w:val="22"/>
                <w:szCs w:val="22"/>
              </w:rPr>
              <w:t>of the archive of the Parliament of the Republic of Moldova</w:t>
            </w:r>
          </w:p>
        </w:tc>
        <w:tc>
          <w:tcPr>
            <w:tcW w:w="1984"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r>
      <w:tr w:rsidR="00571599" w:rsidRPr="0063126E" w:rsidTr="00892F1F">
        <w:trPr>
          <w:trHeight w:val="305"/>
        </w:trPr>
        <w:tc>
          <w:tcPr>
            <w:tcW w:w="4707" w:type="dxa"/>
            <w:tcBorders>
              <w:top w:val="single" w:sz="4" w:space="0" w:color="auto"/>
              <w:left w:val="single" w:sz="4" w:space="0" w:color="auto"/>
              <w:bottom w:val="single" w:sz="4" w:space="0" w:color="auto"/>
              <w:right w:val="nil"/>
            </w:tcBorders>
          </w:tcPr>
          <w:p w:rsidR="00571599" w:rsidRPr="0063126E" w:rsidRDefault="00571599" w:rsidP="00892F1F">
            <w:pPr>
              <w:rPr>
                <w:rFonts w:ascii="Myriad Pro" w:hAnsi="Myriad Pro" w:cs="Calibri"/>
                <w:bCs/>
                <w:sz w:val="22"/>
                <w:szCs w:val="22"/>
              </w:rPr>
            </w:pPr>
            <w:r w:rsidRPr="00F23F36">
              <w:rPr>
                <w:rFonts w:ascii="Myriad Pro" w:hAnsi="Myriad Pro" w:cs="Calibri"/>
                <w:bCs/>
                <w:sz w:val="22"/>
                <w:szCs w:val="22"/>
              </w:rPr>
              <w:t>Validity of Quotation</w:t>
            </w:r>
            <w:r>
              <w:rPr>
                <w:rFonts w:ascii="Myriad Pro" w:hAnsi="Myriad Pro" w:cs="Calibri"/>
                <w:bCs/>
                <w:sz w:val="22"/>
                <w:szCs w:val="22"/>
              </w:rPr>
              <w:t xml:space="preserve"> 90 days</w:t>
            </w:r>
          </w:p>
        </w:tc>
        <w:tc>
          <w:tcPr>
            <w:tcW w:w="1984"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r>
      <w:tr w:rsidR="00571599" w:rsidRPr="0063126E" w:rsidTr="00892F1F">
        <w:trPr>
          <w:trHeight w:val="305"/>
        </w:trPr>
        <w:tc>
          <w:tcPr>
            <w:tcW w:w="4707" w:type="dxa"/>
            <w:tcBorders>
              <w:top w:val="single" w:sz="4" w:space="0" w:color="auto"/>
              <w:left w:val="single" w:sz="4" w:space="0" w:color="auto"/>
              <w:bottom w:val="single" w:sz="4" w:space="0" w:color="auto"/>
              <w:right w:val="nil"/>
            </w:tcBorders>
            <w:hideMark/>
          </w:tcPr>
          <w:p w:rsidR="00571599" w:rsidRPr="0063126E" w:rsidRDefault="00571599" w:rsidP="00892F1F">
            <w:pPr>
              <w:rPr>
                <w:rFonts w:ascii="Myriad Pro" w:hAnsi="Myriad Pro" w:cs="Calibri"/>
                <w:bCs/>
                <w:sz w:val="22"/>
                <w:szCs w:val="22"/>
              </w:rPr>
            </w:pPr>
            <w:r w:rsidRPr="00F23F36">
              <w:rPr>
                <w:rFonts w:ascii="Myriad Pro" w:hAnsi="Myriad Pro" w:cs="Calibri"/>
                <w:bCs/>
                <w:sz w:val="22"/>
                <w:szCs w:val="22"/>
              </w:rPr>
              <w:t>All Provisions of the UNDP General Terms and</w:t>
            </w:r>
            <w:r>
              <w:rPr>
                <w:rFonts w:ascii="Myriad Pro" w:hAnsi="Myriad Pro" w:cs="Calibri"/>
                <w:bCs/>
                <w:sz w:val="22"/>
                <w:szCs w:val="22"/>
              </w:rPr>
              <w:t xml:space="preserve"> Conditions</w:t>
            </w:r>
          </w:p>
        </w:tc>
        <w:tc>
          <w:tcPr>
            <w:tcW w:w="1984"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71599" w:rsidRPr="0063126E" w:rsidRDefault="00571599" w:rsidP="00892F1F">
            <w:pPr>
              <w:rPr>
                <w:rFonts w:ascii="Myriad Pro" w:hAnsi="Myriad Pro" w:cs="Calibri"/>
                <w:sz w:val="22"/>
                <w:szCs w:val="22"/>
              </w:rPr>
            </w:pPr>
          </w:p>
        </w:tc>
      </w:tr>
    </w:tbl>
    <w:p w:rsidR="00571599" w:rsidRDefault="00571599" w:rsidP="00571599">
      <w:pPr>
        <w:jc w:val="both"/>
        <w:rPr>
          <w:rFonts w:ascii="Myriad Pro" w:hAnsi="Myriad Pro" w:cs="Calibri"/>
          <w:sz w:val="22"/>
          <w:szCs w:val="22"/>
        </w:rPr>
      </w:pPr>
    </w:p>
    <w:p w:rsidR="00571599" w:rsidRPr="0063126E" w:rsidRDefault="00571599" w:rsidP="00571599">
      <w:pPr>
        <w:jc w:val="both"/>
        <w:rPr>
          <w:rFonts w:ascii="Myriad Pro" w:hAnsi="Myriad Pro" w:cs="Calibri"/>
          <w:sz w:val="22"/>
          <w:szCs w:val="22"/>
        </w:rPr>
      </w:pPr>
      <w:r w:rsidRPr="0063126E">
        <w:rPr>
          <w:rFonts w:ascii="Myriad Pro" w:hAnsi="Myriad Pro" w:cs="Calibri"/>
          <w:sz w:val="22"/>
          <w:szCs w:val="22"/>
        </w:rPr>
        <w:t>All other information that we have not provided automatically implies our full compliance with the requirements, terms and conditions of the RFQ.</w:t>
      </w:r>
    </w:p>
    <w:p w:rsidR="00571599" w:rsidRPr="0063126E" w:rsidRDefault="00571599" w:rsidP="00571599">
      <w:pPr>
        <w:rPr>
          <w:rFonts w:ascii="Myriad Pro" w:hAnsi="Myriad Pro" w:cs="Calibri"/>
          <w:sz w:val="22"/>
          <w:szCs w:val="22"/>
        </w:rPr>
      </w:pPr>
    </w:p>
    <w:p w:rsidR="00571599" w:rsidRPr="0063126E" w:rsidRDefault="00571599" w:rsidP="00571599">
      <w:pPr>
        <w:rPr>
          <w:rFonts w:ascii="Myriad Pro" w:hAnsi="Myriad Pro" w:cs="Calibri"/>
          <w:i/>
          <w:sz w:val="22"/>
          <w:szCs w:val="22"/>
        </w:rPr>
      </w:pPr>
      <w:r w:rsidRPr="0063126E">
        <w:rPr>
          <w:rFonts w:ascii="Myriad Pro" w:hAnsi="Myriad Pro" w:cs="Calibri"/>
          <w:i/>
          <w:sz w:val="22"/>
          <w:szCs w:val="22"/>
        </w:rPr>
        <w:t>[Name and Signature of the Supplier’s Authorized Person]</w:t>
      </w:r>
    </w:p>
    <w:p w:rsidR="00571599" w:rsidRPr="0063126E" w:rsidRDefault="00571599" w:rsidP="00571599">
      <w:pPr>
        <w:rPr>
          <w:rFonts w:ascii="Myriad Pro" w:hAnsi="Myriad Pro" w:cs="Calibri"/>
          <w:i/>
          <w:sz w:val="22"/>
          <w:szCs w:val="22"/>
        </w:rPr>
      </w:pPr>
      <w:r w:rsidRPr="0063126E">
        <w:rPr>
          <w:rFonts w:ascii="Myriad Pro" w:hAnsi="Myriad Pro" w:cs="Calibri"/>
          <w:i/>
          <w:sz w:val="22"/>
          <w:szCs w:val="22"/>
        </w:rPr>
        <w:t>[Designation]</w:t>
      </w:r>
    </w:p>
    <w:p w:rsidR="00192BEF" w:rsidRPr="00571599" w:rsidRDefault="00571599" w:rsidP="00571599">
      <w:pPr>
        <w:rPr>
          <w:rFonts w:ascii="Myriad Pro" w:hAnsi="Myriad Pro" w:cs="Calibri"/>
          <w:i/>
          <w:sz w:val="22"/>
          <w:szCs w:val="22"/>
        </w:rPr>
      </w:pPr>
      <w:r w:rsidRPr="0063126E">
        <w:rPr>
          <w:rFonts w:ascii="Myriad Pro" w:hAnsi="Myriad Pro" w:cs="Calibri"/>
          <w:i/>
          <w:sz w:val="22"/>
          <w:szCs w:val="22"/>
        </w:rPr>
        <w:t>[Date]</w:t>
      </w:r>
      <w:bookmarkStart w:id="0" w:name="_GoBack"/>
      <w:bookmarkEnd w:id="0"/>
    </w:p>
    <w:sectPr w:rsidR="00192BEF" w:rsidRPr="00571599" w:rsidSect="00571599">
      <w:pgSz w:w="12240" w:h="15840"/>
      <w:pgMar w:top="851" w:right="90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E6" w:rsidRDefault="000103E6" w:rsidP="000103E6">
      <w:r>
        <w:separator/>
      </w:r>
    </w:p>
  </w:endnote>
  <w:endnote w:type="continuationSeparator" w:id="0">
    <w:p w:rsidR="000103E6" w:rsidRDefault="000103E6" w:rsidP="000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E6" w:rsidRDefault="000103E6" w:rsidP="000103E6">
      <w:r>
        <w:separator/>
      </w:r>
    </w:p>
  </w:footnote>
  <w:footnote w:type="continuationSeparator" w:id="0">
    <w:p w:rsidR="000103E6" w:rsidRDefault="000103E6" w:rsidP="000103E6">
      <w:r>
        <w:continuationSeparator/>
      </w:r>
    </w:p>
  </w:footnote>
  <w:footnote w:id="1">
    <w:p w:rsidR="00571599" w:rsidRDefault="00571599" w:rsidP="00571599">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E6"/>
    <w:rsid w:val="000103E6"/>
    <w:rsid w:val="00192BEF"/>
    <w:rsid w:val="00571599"/>
    <w:rsid w:val="0060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240D-B589-4110-A398-9D3FE568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E6"/>
    <w:pPr>
      <w:spacing w:after="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103E6"/>
    <w:rPr>
      <w:vertAlign w:val="superscript"/>
    </w:rPr>
  </w:style>
  <w:style w:type="paragraph" w:styleId="FootnoteText">
    <w:name w:val="footnote text"/>
    <w:basedOn w:val="Normal"/>
    <w:link w:val="FootnoteTextChar"/>
    <w:uiPriority w:val="99"/>
    <w:unhideWhenUsed/>
    <w:rsid w:val="000103E6"/>
  </w:style>
  <w:style w:type="character" w:customStyle="1" w:styleId="FootnoteTextChar">
    <w:name w:val="Footnote Text Char"/>
    <w:basedOn w:val="DefaultParagraphFont"/>
    <w:link w:val="FootnoteText"/>
    <w:uiPriority w:val="99"/>
    <w:rsid w:val="000103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2017-05-10T13:00:00Z</dcterms:created>
  <dcterms:modified xsi:type="dcterms:W3CDTF">2017-05-12T12:34:00Z</dcterms:modified>
</cp:coreProperties>
</file>