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E" w:rsidRPr="009819A5" w:rsidRDefault="00277B2E" w:rsidP="00277B2E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Annex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2</w:t>
      </w:r>
      <w:proofErr w:type="gramEnd"/>
    </w:p>
    <w:p w:rsidR="00277B2E" w:rsidRPr="009819A5" w:rsidRDefault="00277B2E" w:rsidP="00277B2E">
      <w:pPr>
        <w:rPr>
          <w:rFonts w:ascii="Calibri" w:hAnsi="Calibri" w:cs="Calibri"/>
          <w:sz w:val="28"/>
          <w:szCs w:val="28"/>
        </w:rPr>
      </w:pPr>
    </w:p>
    <w:p w:rsidR="00277B2E" w:rsidRPr="009819A5" w:rsidRDefault="00277B2E" w:rsidP="00277B2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 FOR SUBMITTING SUPPLIER’S </w:t>
      </w:r>
      <w:r w:rsidRPr="009819A5">
        <w:rPr>
          <w:rFonts w:ascii="Calibri" w:hAnsi="Calibri" w:cs="Calibri"/>
          <w:b/>
          <w:sz w:val="28"/>
          <w:szCs w:val="28"/>
        </w:rPr>
        <w:t>QUOTATION</w:t>
      </w:r>
    </w:p>
    <w:p w:rsidR="00277B2E" w:rsidRPr="00E933A8" w:rsidRDefault="00277B2E" w:rsidP="00277B2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 xml:space="preserve">(This Form </w:t>
      </w:r>
      <w:proofErr w:type="gramStart"/>
      <w:r w:rsidRPr="00E933A8">
        <w:rPr>
          <w:rFonts w:ascii="Calibri" w:hAnsi="Calibri" w:cs="Calibri"/>
          <w:b/>
          <w:i/>
          <w:sz w:val="22"/>
          <w:szCs w:val="22"/>
        </w:rPr>
        <w:t>must be submitted</w:t>
      </w:r>
      <w:proofErr w:type="gramEnd"/>
      <w:r w:rsidRPr="00E933A8">
        <w:rPr>
          <w:rFonts w:ascii="Calibri" w:hAnsi="Calibri" w:cs="Calibri"/>
          <w:b/>
          <w:i/>
          <w:sz w:val="22"/>
          <w:szCs w:val="22"/>
        </w:rPr>
        <w:t xml:space="preserve">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1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277B2E" w:rsidRPr="00E933A8" w:rsidRDefault="00277B2E" w:rsidP="00277B2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77B2E" w:rsidRPr="00E933A8" w:rsidRDefault="00277B2E" w:rsidP="00277B2E">
      <w:pPr>
        <w:jc w:val="center"/>
        <w:rPr>
          <w:rFonts w:ascii="Calibri" w:hAnsi="Calibri" w:cs="Calibri"/>
          <w:b/>
          <w:sz w:val="22"/>
          <w:szCs w:val="22"/>
        </w:rPr>
      </w:pPr>
    </w:p>
    <w:p w:rsidR="00277B2E" w:rsidRDefault="00277B2E" w:rsidP="00277B2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</w:t>
      </w:r>
      <w:r w:rsidRPr="006F703A">
        <w:rPr>
          <w:rFonts w:ascii="Myriad Pro" w:hAnsi="Myriad Pro" w:cs="Calibri"/>
          <w:b/>
          <w:snapToGrid w:val="0"/>
          <w:sz w:val="22"/>
          <w:szCs w:val="22"/>
        </w:rPr>
        <w:t xml:space="preserve">No. </w:t>
      </w:r>
      <w:r w:rsidRPr="006F703A">
        <w:rPr>
          <w:rFonts w:ascii="Myriad Pro" w:hAnsi="Myriad Pro"/>
          <w:b/>
          <w:sz w:val="22"/>
          <w:szCs w:val="22"/>
          <w:lang w:val="en-GB"/>
        </w:rPr>
        <w:t>RfQ17/01</w:t>
      </w:r>
      <w:r>
        <w:rPr>
          <w:rFonts w:ascii="Myriad Pro" w:hAnsi="Myriad Pro"/>
          <w:b/>
          <w:sz w:val="22"/>
          <w:szCs w:val="22"/>
          <w:lang w:val="en-GB"/>
        </w:rPr>
        <w:t>656</w:t>
      </w:r>
      <w:r w:rsidRPr="006F703A">
        <w:rPr>
          <w:rFonts w:ascii="Myriad Pro" w:hAnsi="Myriad Pro"/>
          <w:b/>
          <w:sz w:val="22"/>
          <w:szCs w:val="22"/>
          <w:lang w:val="en-GB"/>
        </w:rPr>
        <w:t>:</w:t>
      </w:r>
    </w:p>
    <w:p w:rsidR="00277B2E" w:rsidRDefault="00277B2E" w:rsidP="00277B2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277B2E" w:rsidRDefault="00277B2E" w:rsidP="00277B2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Offer to Supply Goods Compliant with Technical Specifications and Requirements </w:t>
      </w:r>
    </w:p>
    <w:p w:rsidR="00277B2E" w:rsidRDefault="00277B2E" w:rsidP="00277B2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665"/>
        <w:gridCol w:w="4640"/>
        <w:gridCol w:w="987"/>
        <w:gridCol w:w="1239"/>
        <w:gridCol w:w="1222"/>
        <w:gridCol w:w="1222"/>
      </w:tblGrid>
      <w:tr w:rsidR="00277B2E" w:rsidTr="00AE7E56">
        <w:trPr>
          <w:trHeight w:val="827"/>
        </w:trPr>
        <w:tc>
          <w:tcPr>
            <w:tcW w:w="9975" w:type="dxa"/>
            <w:gridSpan w:val="6"/>
          </w:tcPr>
          <w:p w:rsidR="00277B2E" w:rsidRPr="00DA3242" w:rsidRDefault="00277B2E" w:rsidP="00AE7E56">
            <w:pPr>
              <w:spacing w:before="60" w:after="60"/>
              <w:rPr>
                <w:rFonts w:ascii="Myriad Pro" w:hAnsi="Myriad Pro"/>
                <w:sz w:val="22"/>
                <w:szCs w:val="22"/>
              </w:rPr>
            </w:pPr>
            <w:r w:rsidRPr="00DA3242">
              <w:rPr>
                <w:rFonts w:ascii="Myriad Pro" w:hAnsi="Myriad Pro"/>
                <w:b/>
                <w:sz w:val="22"/>
                <w:szCs w:val="22"/>
              </w:rPr>
              <w:t>Location:</w:t>
            </w:r>
            <w:r w:rsidRPr="00DA3242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 xml:space="preserve">on the both banks of the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Nistru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river, Republic of Moldova</w:t>
            </w:r>
          </w:p>
          <w:p w:rsidR="00277B2E" w:rsidRPr="00DA3242" w:rsidRDefault="00277B2E" w:rsidP="00AE7E56">
            <w:pPr>
              <w:spacing w:before="60" w:after="60"/>
              <w:rPr>
                <w:rFonts w:ascii="Myriad Pro" w:hAnsi="Myriad Pro"/>
                <w:b/>
                <w:sz w:val="22"/>
                <w:szCs w:val="22"/>
              </w:rPr>
            </w:pPr>
            <w:r w:rsidRPr="00DA3242">
              <w:rPr>
                <w:rFonts w:ascii="Myriad Pro" w:hAnsi="Myriad Pro"/>
                <w:b/>
                <w:sz w:val="22"/>
                <w:szCs w:val="22"/>
              </w:rPr>
              <w:t>D</w:t>
            </w:r>
            <w:r>
              <w:rPr>
                <w:rFonts w:ascii="Myriad Pro" w:hAnsi="Myriad Pro"/>
                <w:b/>
                <w:sz w:val="22"/>
                <w:szCs w:val="22"/>
              </w:rPr>
              <w:t>uration of services</w:t>
            </w:r>
            <w:r w:rsidRPr="00DA3242">
              <w:rPr>
                <w:rFonts w:ascii="Myriad Pro" w:hAnsi="Myriad Pro"/>
                <w:b/>
                <w:sz w:val="22"/>
                <w:szCs w:val="22"/>
              </w:rPr>
              <w:t>:</w:t>
            </w:r>
            <w:r w:rsidRPr="00DA3242">
              <w:rPr>
                <w:rFonts w:ascii="Myriad Pro" w:hAnsi="Myriad Pro" w:cs="Calibri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 w:cs="Calibri"/>
                <w:sz w:val="22"/>
                <w:szCs w:val="22"/>
              </w:rPr>
              <w:t>January-December, 2018</w:t>
            </w:r>
            <w:r w:rsidRPr="00DA3242">
              <w:rPr>
                <w:rFonts w:ascii="Myriad Pro" w:hAnsi="Myriad Pro" w:cs="Calibri"/>
                <w:sz w:val="22"/>
                <w:szCs w:val="22"/>
              </w:rPr>
              <w:t xml:space="preserve"> </w:t>
            </w:r>
            <w:r w:rsidRPr="00DA3242">
              <w:rPr>
                <w:rFonts w:ascii="Myriad Pro" w:hAnsi="Myriad Pro" w:cs="Calibri"/>
                <w:i/>
                <w:sz w:val="22"/>
                <w:szCs w:val="22"/>
              </w:rPr>
              <w:t>(the period may slightly vary)</w:t>
            </w:r>
          </w:p>
        </w:tc>
      </w:tr>
      <w:tr w:rsidR="00277B2E" w:rsidTr="00AE7E56">
        <w:tc>
          <w:tcPr>
            <w:tcW w:w="665" w:type="dxa"/>
            <w:vAlign w:val="center"/>
          </w:tcPr>
          <w:p w:rsidR="00277B2E" w:rsidRPr="00E70B9D" w:rsidRDefault="00277B2E" w:rsidP="00AE7E56">
            <w:pPr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E70B9D">
              <w:rPr>
                <w:rFonts w:ascii="Myriad Pro" w:hAnsi="Myriad Pro" w:cs="Calibri"/>
                <w:b/>
                <w:sz w:val="22"/>
                <w:szCs w:val="22"/>
              </w:rPr>
              <w:t>Item #</w:t>
            </w:r>
          </w:p>
        </w:tc>
        <w:tc>
          <w:tcPr>
            <w:tcW w:w="4640" w:type="dxa"/>
            <w:vAlign w:val="center"/>
          </w:tcPr>
          <w:p w:rsidR="00277B2E" w:rsidRPr="00603CFA" w:rsidRDefault="00277B2E" w:rsidP="00AE7E56">
            <w:pPr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03CFA">
              <w:rPr>
                <w:rFonts w:ascii="Myriad Pro" w:hAnsi="Myriad Pro" w:cs="Calibri"/>
                <w:b/>
                <w:sz w:val="22"/>
                <w:szCs w:val="22"/>
              </w:rPr>
              <w:t xml:space="preserve">Description of </w:t>
            </w:r>
            <w:r>
              <w:rPr>
                <w:rFonts w:ascii="Myriad Pro" w:hAnsi="Myriad Pro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987" w:type="dxa"/>
            <w:vAlign w:val="center"/>
          </w:tcPr>
          <w:p w:rsidR="00277B2E" w:rsidRPr="00603CFA" w:rsidRDefault="00277B2E" w:rsidP="00AE7E56">
            <w:pPr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03CFA">
              <w:rPr>
                <w:rFonts w:ascii="Myriad Pro" w:hAnsi="Myriad Pro" w:cs="Calibri"/>
                <w:b/>
                <w:sz w:val="22"/>
                <w:szCs w:val="22"/>
              </w:rPr>
              <w:t>Unit</w:t>
            </w:r>
          </w:p>
        </w:tc>
        <w:tc>
          <w:tcPr>
            <w:tcW w:w="1239" w:type="dxa"/>
            <w:vAlign w:val="center"/>
          </w:tcPr>
          <w:p w:rsidR="00277B2E" w:rsidRPr="00603CFA" w:rsidRDefault="00277B2E" w:rsidP="00AE7E56">
            <w:pPr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603CFA">
              <w:rPr>
                <w:rFonts w:ascii="Myriad Pro" w:hAnsi="Myriad Pro" w:cs="Calibri"/>
                <w:b/>
                <w:sz w:val="22"/>
                <w:szCs w:val="22"/>
              </w:rPr>
              <w:t>Quantity</w:t>
            </w:r>
            <w:r>
              <w:rPr>
                <w:rFonts w:ascii="Myriad Pro" w:hAnsi="Myriad Pro" w:cs="Calibri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1222" w:type="dxa"/>
            <w:vAlign w:val="center"/>
          </w:tcPr>
          <w:p w:rsidR="00277B2E" w:rsidRPr="00603CFA" w:rsidRDefault="00277B2E" w:rsidP="00AE7E56">
            <w:pPr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sz w:val="22"/>
                <w:szCs w:val="22"/>
              </w:rPr>
              <w:t>Unit price, MDL</w:t>
            </w:r>
          </w:p>
        </w:tc>
        <w:tc>
          <w:tcPr>
            <w:tcW w:w="1222" w:type="dxa"/>
            <w:vAlign w:val="center"/>
          </w:tcPr>
          <w:p w:rsidR="00277B2E" w:rsidRPr="00603CFA" w:rsidRDefault="00277B2E" w:rsidP="00AE7E56">
            <w:pPr>
              <w:jc w:val="both"/>
              <w:rPr>
                <w:rFonts w:ascii="Myriad Pro" w:hAnsi="Myriad Pro" w:cs="Calibri"/>
                <w:b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sz w:val="22"/>
                <w:szCs w:val="22"/>
              </w:rPr>
              <w:t>Subtotal, MDL</w:t>
            </w: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Transportation services (on both right and left banks of </w:t>
            </w:r>
            <w:proofErr w:type="spellStart"/>
            <w:r>
              <w:rPr>
                <w:rFonts w:ascii="Myriad Pro" w:hAnsi="Myriad Pro"/>
                <w:lang w:val="en-GB"/>
              </w:rPr>
              <w:t>Nistru</w:t>
            </w:r>
            <w:proofErr w:type="spellEnd"/>
            <w:r>
              <w:rPr>
                <w:rFonts w:ascii="Myriad Pro" w:hAnsi="Myriad Pro"/>
                <w:lang w:val="en-GB"/>
              </w:rPr>
              <w:t xml:space="preserve"> river)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km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20,000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Catering services (coffee-breaks, lunches, </w:t>
            </w:r>
            <w:proofErr w:type="spellStart"/>
            <w:r>
              <w:rPr>
                <w:rFonts w:ascii="Myriad Pro" w:hAnsi="Myriad Pro"/>
                <w:lang w:val="en-GB"/>
              </w:rPr>
              <w:t>fourchettes</w:t>
            </w:r>
            <w:proofErr w:type="spellEnd"/>
            <w:r>
              <w:rPr>
                <w:rFonts w:ascii="Myriad Pro" w:hAnsi="Myriad Pro"/>
                <w:lang w:val="en-GB"/>
              </w:rPr>
              <w:t>)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277B2E" w:rsidRDefault="00277B2E" w:rsidP="00AE7E56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Coffee breaks</w:t>
            </w:r>
            <w:r w:rsidRPr="00603CFA">
              <w:rPr>
                <w:rFonts w:ascii="Myriad Pro" w:hAnsi="Myriad Pro"/>
                <w:sz w:val="22"/>
                <w:szCs w:val="22"/>
              </w:rPr>
              <w:t>, in adequate space to comfortably servi</w:t>
            </w:r>
            <w:r>
              <w:rPr>
                <w:rFonts w:ascii="Myriad Pro" w:hAnsi="Myriad Pro"/>
                <w:sz w:val="22"/>
                <w:szCs w:val="22"/>
              </w:rPr>
              <w:t>ng coffee.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Coffee breaks should include minimum of: tea, coffee, cream, cookies, salty pastries (2 types), sweet pastries (3-4 types)</w:t>
            </w:r>
            <w:r w:rsidRPr="00603CFA">
              <w:rPr>
                <w:rFonts w:ascii="Myriad Pro" w:hAnsi="Myriad Pro" w:cs="Corbe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times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60 (30 persons each)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277B2E" w:rsidRDefault="00277B2E" w:rsidP="00AE7E56">
            <w:pPr>
              <w:rPr>
                <w:rFonts w:ascii="Myriad Pro" w:hAnsi="Myriad Pro"/>
                <w:sz w:val="22"/>
                <w:szCs w:val="22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Lunch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in the same building with conference hall, in a separate room. </w:t>
            </w:r>
          </w:p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 w:rsidRPr="00603CFA">
              <w:rPr>
                <w:rFonts w:ascii="Myriad Pro" w:hAnsi="Myriad Pro"/>
                <w:sz w:val="22"/>
                <w:szCs w:val="22"/>
              </w:rPr>
              <w:t>Lunch should include minimum of: first course (soup), second course – meat, fish, garnish, salad meal, fruit juice, mineral water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times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30 (30 persons each)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 w:rsidRPr="00603CFA">
              <w:rPr>
                <w:rFonts w:ascii="Myriad Pro" w:hAnsi="Myriad Pro"/>
                <w:b/>
                <w:sz w:val="22"/>
                <w:szCs w:val="22"/>
              </w:rPr>
              <w:t>Dinner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603CFA">
              <w:rPr>
                <w:rFonts w:ascii="Myriad Pro" w:hAnsi="Myriad Pro"/>
                <w:b/>
                <w:sz w:val="22"/>
                <w:szCs w:val="22"/>
              </w:rPr>
              <w:t xml:space="preserve">type </w:t>
            </w:r>
            <w:proofErr w:type="spellStart"/>
            <w:r w:rsidRPr="00603CFA">
              <w:rPr>
                <w:rFonts w:ascii="Myriad Pro" w:hAnsi="Myriad Pro"/>
                <w:b/>
                <w:sz w:val="22"/>
                <w:szCs w:val="22"/>
              </w:rPr>
              <w:t>Fourchette</w:t>
            </w:r>
            <w:proofErr w:type="spellEnd"/>
            <w:r w:rsidRPr="00603CFA">
              <w:rPr>
                <w:rFonts w:ascii="Myriad Pro" w:hAnsi="Myriad Pro"/>
                <w:b/>
                <w:sz w:val="22"/>
                <w:szCs w:val="22"/>
              </w:rPr>
              <w:t>/Buffet</w:t>
            </w:r>
            <w:r w:rsidRPr="00603CFA">
              <w:rPr>
                <w:rFonts w:ascii="Myriad Pro" w:hAnsi="Myriad Pro"/>
                <w:sz w:val="22"/>
                <w:szCs w:val="22"/>
              </w:rPr>
              <w:t xml:space="preserve"> in the same building with conference hall, in a separate room. Dinner should include minimum of: meat, fish, garnish (at least 2 types), salad meal (at least 2 types), desert, water/juice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times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30 (30 persons each)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277B2E" w:rsidRPr="00603CFA" w:rsidRDefault="00277B2E" w:rsidP="00AE7E56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BD3150">
              <w:rPr>
                <w:rFonts w:ascii="Myriad Pro" w:hAnsi="Myriad Pro"/>
                <w:b/>
                <w:sz w:val="22"/>
                <w:szCs w:val="22"/>
              </w:rPr>
              <w:t xml:space="preserve">Still/sparkling water </w:t>
            </w:r>
            <w:r w:rsidRPr="00BD3150">
              <w:rPr>
                <w:rFonts w:ascii="Myriad Pro" w:hAnsi="Myriad Pro"/>
                <w:sz w:val="22"/>
                <w:szCs w:val="22"/>
              </w:rPr>
              <w:t>in bottles of 0.5 l in the conference room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bottles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2000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</w:tcPr>
          <w:p w:rsidR="00277B2E" w:rsidRPr="00A650DA" w:rsidRDefault="00277B2E" w:rsidP="00AE7E56">
            <w:pPr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en-GB"/>
              </w:rPr>
              <w:t>Conferences hall rent services (capacity min. 30 persons)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event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20 events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  <w:shd w:val="clear" w:color="auto" w:fill="auto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ro-RO"/>
              </w:rPr>
            </w:pPr>
            <w:r w:rsidRPr="00C52502">
              <w:rPr>
                <w:rFonts w:ascii="Myriad Pro" w:hAnsi="Myriad Pro"/>
                <w:lang w:val="en-GB"/>
              </w:rPr>
              <w:t>Conferences hall rent services (capacity min. 200 persons)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event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 event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Translation equipment (for simultaneous translation), incl. </w:t>
            </w:r>
            <w:r w:rsidRPr="00BD3150">
              <w:rPr>
                <w:rFonts w:ascii="Myriad Pro" w:hAnsi="Myriad Pro"/>
              </w:rPr>
              <w:t>wireless</w:t>
            </w:r>
            <w:r w:rsidRPr="00BD3150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  <w:lang w:val="en-GB"/>
              </w:rPr>
              <w:t>microphone audio system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event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20 events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Conference equipment (</w:t>
            </w:r>
            <w:r w:rsidRPr="00BD3150">
              <w:rPr>
                <w:rFonts w:ascii="Myriad Pro" w:hAnsi="Myriad Pro"/>
              </w:rPr>
              <w:t xml:space="preserve">video projector, screen and </w:t>
            </w:r>
            <w:r w:rsidRPr="00BD3150">
              <w:rPr>
                <w:rFonts w:ascii="Myriad Pro" w:hAnsi="Myriad Pro"/>
                <w:lang w:val="en-GB"/>
              </w:rPr>
              <w:t>no</w:t>
            </w:r>
            <w:r>
              <w:rPr>
                <w:rFonts w:ascii="Myriad Pro" w:hAnsi="Myriad Pro"/>
                <w:lang w:val="en-GB"/>
              </w:rPr>
              <w:t>tebook, flip-chart with markers and paper sheets)</w:t>
            </w:r>
          </w:p>
        </w:tc>
        <w:tc>
          <w:tcPr>
            <w:tcW w:w="987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event</w:t>
            </w:r>
          </w:p>
        </w:tc>
        <w:tc>
          <w:tcPr>
            <w:tcW w:w="1239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Up to 20 events</w:t>
            </w: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rPr>
          <w:trHeight w:val="539"/>
        </w:trPr>
        <w:tc>
          <w:tcPr>
            <w:tcW w:w="665" w:type="dxa"/>
          </w:tcPr>
          <w:p w:rsidR="00277B2E" w:rsidRPr="002344CE" w:rsidRDefault="00277B2E" w:rsidP="00277B2E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4640" w:type="dxa"/>
          </w:tcPr>
          <w:p w:rsidR="00277B2E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Remuneration of moderators</w:t>
            </w:r>
          </w:p>
        </w:tc>
        <w:tc>
          <w:tcPr>
            <w:tcW w:w="987" w:type="dxa"/>
            <w:shd w:val="clear" w:color="auto" w:fill="auto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event</w:t>
            </w:r>
          </w:p>
        </w:tc>
        <w:tc>
          <w:tcPr>
            <w:tcW w:w="1239" w:type="dxa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  <w:r w:rsidRPr="00C52502">
              <w:rPr>
                <w:rFonts w:ascii="Myriad Pro" w:hAnsi="Myriad Pro"/>
                <w:lang w:val="en-GB"/>
              </w:rPr>
              <w:t>Up to 1 person</w:t>
            </w:r>
            <w:r>
              <w:rPr>
                <w:rFonts w:ascii="Myriad Pro" w:hAnsi="Myriad Pro"/>
                <w:lang w:val="en-GB"/>
              </w:rPr>
              <w:t xml:space="preserve"> per event</w:t>
            </w:r>
            <w:r w:rsidRPr="00C52502">
              <w:rPr>
                <w:rFonts w:ascii="Myriad Pro" w:hAnsi="Myriad Pro"/>
                <w:lang w:val="en-GB"/>
              </w:rPr>
              <w:t xml:space="preserve"> (up to 15 </w:t>
            </w:r>
            <w:r>
              <w:rPr>
                <w:rFonts w:ascii="Myriad Pro" w:hAnsi="Myriad Pro"/>
                <w:lang w:val="en-GB"/>
              </w:rPr>
              <w:t>1-day events</w:t>
            </w:r>
            <w:r w:rsidRPr="00C52502">
              <w:rPr>
                <w:rFonts w:ascii="Myriad Pro" w:hAnsi="Myriad Pro"/>
                <w:lang w:val="en-GB"/>
              </w:rPr>
              <w:t>)</w:t>
            </w:r>
          </w:p>
        </w:tc>
        <w:tc>
          <w:tcPr>
            <w:tcW w:w="1222" w:type="dxa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77B2E" w:rsidTr="00AE7E56">
        <w:trPr>
          <w:trHeight w:val="539"/>
        </w:trPr>
        <w:tc>
          <w:tcPr>
            <w:tcW w:w="7531" w:type="dxa"/>
            <w:gridSpan w:val="4"/>
            <w:vAlign w:val="center"/>
          </w:tcPr>
          <w:p w:rsidR="00277B2E" w:rsidRPr="00C52502" w:rsidRDefault="00277B2E" w:rsidP="00AE7E56">
            <w:pPr>
              <w:jc w:val="center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TOTAL (MDL)</w:t>
            </w:r>
          </w:p>
        </w:tc>
        <w:tc>
          <w:tcPr>
            <w:tcW w:w="1222" w:type="dxa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  <w:tc>
          <w:tcPr>
            <w:tcW w:w="1222" w:type="dxa"/>
          </w:tcPr>
          <w:p w:rsidR="00277B2E" w:rsidRPr="00C52502" w:rsidRDefault="00277B2E" w:rsidP="00AE7E56">
            <w:pPr>
              <w:jc w:val="both"/>
              <w:rPr>
                <w:rFonts w:ascii="Myriad Pro" w:hAnsi="Myriad Pro"/>
                <w:lang w:val="en-GB"/>
              </w:rPr>
            </w:pPr>
          </w:p>
        </w:tc>
      </w:tr>
    </w:tbl>
    <w:p w:rsidR="00277B2E" w:rsidRDefault="00277B2E" w:rsidP="00277B2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277B2E" w:rsidRDefault="00277B2E" w:rsidP="00277B2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277B2E" w:rsidRPr="00E933A8" w:rsidRDefault="00277B2E" w:rsidP="00277B2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277B2E" w:rsidRPr="00E933A8" w:rsidTr="00AE7E56">
        <w:trPr>
          <w:trHeight w:val="383"/>
        </w:trPr>
        <w:tc>
          <w:tcPr>
            <w:tcW w:w="4140" w:type="dxa"/>
            <w:vMerge w:val="restart"/>
          </w:tcPr>
          <w:p w:rsidR="00277B2E" w:rsidRPr="00E933A8" w:rsidRDefault="00277B2E" w:rsidP="00AE7E5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B2E" w:rsidRPr="00E933A8" w:rsidRDefault="00277B2E" w:rsidP="00AE7E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277B2E" w:rsidRPr="00E933A8" w:rsidTr="00AE7E56">
        <w:trPr>
          <w:trHeight w:val="382"/>
        </w:trPr>
        <w:tc>
          <w:tcPr>
            <w:tcW w:w="4140" w:type="dxa"/>
            <w:vMerge/>
          </w:tcPr>
          <w:p w:rsidR="00277B2E" w:rsidRPr="00E933A8" w:rsidRDefault="00277B2E" w:rsidP="00AE7E56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277B2E" w:rsidRPr="00E933A8" w:rsidTr="00AE7E56">
        <w:trPr>
          <w:trHeight w:val="382"/>
        </w:trPr>
        <w:tc>
          <w:tcPr>
            <w:tcW w:w="4140" w:type="dxa"/>
          </w:tcPr>
          <w:p w:rsidR="00277B2E" w:rsidRPr="00F9718C" w:rsidRDefault="00277B2E" w:rsidP="00AE7E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Response to queries from UNDP maximum within 1 day</w:t>
            </w:r>
          </w:p>
        </w:tc>
        <w:tc>
          <w:tcPr>
            <w:tcW w:w="1350" w:type="dxa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277B2E" w:rsidRPr="00E933A8" w:rsidRDefault="00277B2E" w:rsidP="00AE7E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277B2E" w:rsidRPr="00E933A8" w:rsidTr="00AE7E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277B2E" w:rsidRPr="00E933A8" w:rsidRDefault="00277B2E" w:rsidP="00AE7E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minimum 60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2E" w:rsidRPr="00E933A8" w:rsidRDefault="00277B2E" w:rsidP="00AE7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2E" w:rsidRPr="00E933A8" w:rsidRDefault="00277B2E" w:rsidP="00AE7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2E" w:rsidRPr="00E933A8" w:rsidRDefault="00277B2E" w:rsidP="00AE7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7B2E" w:rsidRPr="00E933A8" w:rsidTr="00AE7E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277B2E" w:rsidRPr="00E933A8" w:rsidRDefault="00277B2E" w:rsidP="00AE7E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2E" w:rsidRPr="00E933A8" w:rsidRDefault="00277B2E" w:rsidP="00AE7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2E" w:rsidRPr="00E933A8" w:rsidRDefault="00277B2E" w:rsidP="00AE7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B2E" w:rsidRPr="00E933A8" w:rsidRDefault="00277B2E" w:rsidP="00AE7E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p w:rsidR="00277B2E" w:rsidRPr="00E933A8" w:rsidRDefault="00277B2E" w:rsidP="00277B2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p w:rsidR="00277B2E" w:rsidRPr="00E933A8" w:rsidRDefault="00277B2E" w:rsidP="00277B2E">
      <w:pPr>
        <w:rPr>
          <w:rFonts w:ascii="Calibri" w:hAnsi="Calibri" w:cs="Calibri"/>
          <w:sz w:val="22"/>
          <w:szCs w:val="22"/>
        </w:rPr>
      </w:pPr>
    </w:p>
    <w:p w:rsidR="00277B2E" w:rsidRPr="00E933A8" w:rsidRDefault="00277B2E" w:rsidP="00277B2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277B2E" w:rsidRPr="00E933A8" w:rsidRDefault="00277B2E" w:rsidP="00277B2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277B2E" w:rsidRPr="00E933A8" w:rsidRDefault="00277B2E" w:rsidP="00277B2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5B7DC2" w:rsidRDefault="005B7DC2">
      <w:bookmarkStart w:id="0" w:name="_GoBack"/>
      <w:bookmarkEnd w:id="0"/>
    </w:p>
    <w:sectPr w:rsidR="005B7DC2" w:rsidSect="00277B2E">
      <w:pgSz w:w="11906" w:h="16838"/>
      <w:pgMar w:top="1008" w:right="1008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53" w:rsidRDefault="00100F53" w:rsidP="00277B2E">
      <w:r>
        <w:separator/>
      </w:r>
    </w:p>
  </w:endnote>
  <w:endnote w:type="continuationSeparator" w:id="0">
    <w:p w:rsidR="00100F53" w:rsidRDefault="00100F53" w:rsidP="002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53" w:rsidRDefault="00100F53" w:rsidP="00277B2E">
      <w:r>
        <w:separator/>
      </w:r>
    </w:p>
  </w:footnote>
  <w:footnote w:type="continuationSeparator" w:id="0">
    <w:p w:rsidR="00100F53" w:rsidRDefault="00100F53" w:rsidP="00277B2E">
      <w:r>
        <w:continuationSeparator/>
      </w:r>
    </w:p>
  </w:footnote>
  <w:footnote w:id="1">
    <w:p w:rsidR="00277B2E" w:rsidRPr="007E6019" w:rsidRDefault="00277B2E" w:rsidP="00277B2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099"/>
    <w:multiLevelType w:val="hybridMultilevel"/>
    <w:tmpl w:val="71DEB534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EC6"/>
    <w:multiLevelType w:val="hybridMultilevel"/>
    <w:tmpl w:val="9C329A5A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E"/>
    <w:rsid w:val="00100F53"/>
    <w:rsid w:val="00277B2E"/>
    <w:rsid w:val="005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BD174-438B-4EEB-9008-E7FAF41E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77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77B2E"/>
  </w:style>
  <w:style w:type="character" w:customStyle="1" w:styleId="FootnoteTextChar">
    <w:name w:val="Footnote Text Char"/>
    <w:basedOn w:val="DefaultParagraphFont"/>
    <w:link w:val="FootnoteText"/>
    <w:uiPriority w:val="99"/>
    <w:rsid w:val="00277B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7B2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277B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Liliana Caterov</cp:lastModifiedBy>
  <cp:revision>1</cp:revision>
  <dcterms:created xsi:type="dcterms:W3CDTF">2017-12-12T05:36:00Z</dcterms:created>
  <dcterms:modified xsi:type="dcterms:W3CDTF">2017-12-12T05:37:00Z</dcterms:modified>
</cp:coreProperties>
</file>