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1EA" w:rsidRPr="00E221EA" w:rsidRDefault="00E221EA" w:rsidP="00E221EA">
      <w:pPr>
        <w:pBdr>
          <w:bottom w:val="single" w:sz="4" w:space="1" w:color="auto"/>
        </w:pBdr>
        <w:spacing w:after="240" w:line="240" w:lineRule="auto"/>
        <w:jc w:val="center"/>
        <w:rPr>
          <w:rFonts w:ascii="Calibri" w:eastAsia="Times New Roman" w:hAnsi="Calibri" w:cs="Calibri"/>
          <w:b/>
          <w:bCs/>
          <w:color w:val="000000"/>
          <w:sz w:val="32"/>
          <w:szCs w:val="24"/>
          <w:lang w:val="en-US"/>
        </w:rPr>
      </w:pPr>
      <w:r w:rsidRPr="00E221EA">
        <w:rPr>
          <w:rFonts w:ascii="Calibri" w:eastAsia="Times New Roman" w:hAnsi="Calibri" w:cs="Calibri"/>
          <w:b/>
          <w:bCs/>
          <w:color w:val="000000"/>
          <w:sz w:val="32"/>
          <w:szCs w:val="24"/>
          <w:lang w:val="en-US"/>
        </w:rPr>
        <w:t>ITB18/1690-Technical Responsiveness Table</w:t>
      </w:r>
    </w:p>
    <w:p w:rsidR="00E221EA" w:rsidRPr="00E221EA" w:rsidRDefault="00E221EA" w:rsidP="00E221EA">
      <w:pPr>
        <w:pBdr>
          <w:bottom w:val="single" w:sz="4" w:space="1" w:color="auto"/>
        </w:pBdr>
        <w:spacing w:after="240" w:line="240" w:lineRule="auto"/>
        <w:rPr>
          <w:rFonts w:ascii="Calibri" w:eastAsia="Times New Roman" w:hAnsi="Calibri" w:cs="Calibri"/>
          <w:b/>
          <w:bCs/>
          <w:color w:val="000000"/>
          <w:lang w:val="en-US"/>
        </w:rPr>
      </w:pPr>
      <w:bookmarkStart w:id="0" w:name="_GoBack"/>
      <w:bookmarkEnd w:id="0"/>
      <w:r w:rsidRPr="00E221EA">
        <w:rPr>
          <w:rFonts w:ascii="Calibri" w:eastAsia="Times New Roman" w:hAnsi="Calibri" w:cs="Calibri"/>
          <w:b/>
          <w:bCs/>
          <w:color w:val="000000"/>
          <w:lang w:val="en-US"/>
        </w:rPr>
        <w:t>Bidders shall provide all the applicable data of the equipment offered, failing to do so may result in the bid being rejected. Corresponding documentation shall form part of the bidder’s offer.</w:t>
      </w:r>
    </w:p>
    <w:p w:rsidR="00E221EA" w:rsidRPr="00E221EA" w:rsidRDefault="00E221EA" w:rsidP="00E221EA">
      <w:pPr>
        <w:widowControl w:val="0"/>
        <w:shd w:val="clear" w:color="auto" w:fill="FBD4B4"/>
        <w:overflowPunct w:val="0"/>
        <w:adjustRightInd w:val="0"/>
        <w:spacing w:after="0" w:line="240" w:lineRule="auto"/>
        <w:rPr>
          <w:rFonts w:ascii="Myriad Pro" w:eastAsia="Times New Roman" w:hAnsi="Myriad Pro" w:cs="Times New Roman"/>
          <w:b/>
          <w:kern w:val="28"/>
          <w:sz w:val="24"/>
          <w:szCs w:val="24"/>
          <w:lang w:val="en-US"/>
        </w:rPr>
      </w:pPr>
      <w:r w:rsidRPr="00E221EA">
        <w:rPr>
          <w:rFonts w:ascii="Myriad Pro" w:eastAsia="Times New Roman" w:hAnsi="Myriad Pro" w:cs="Times New Roman"/>
          <w:b/>
          <w:kern w:val="28"/>
          <w:sz w:val="24"/>
          <w:szCs w:val="24"/>
          <w:lang w:val="en-US"/>
        </w:rPr>
        <w:t>LOT #1</w:t>
      </w:r>
    </w:p>
    <w:tbl>
      <w:tblPr>
        <w:tblStyle w:val="1"/>
        <w:tblW w:w="0" w:type="auto"/>
        <w:tblLook w:val="04A0" w:firstRow="1" w:lastRow="0" w:firstColumn="1" w:lastColumn="0" w:noHBand="0" w:noVBand="1"/>
      </w:tblPr>
      <w:tblGrid>
        <w:gridCol w:w="379"/>
        <w:gridCol w:w="2057"/>
        <w:gridCol w:w="2815"/>
        <w:gridCol w:w="660"/>
        <w:gridCol w:w="649"/>
        <w:gridCol w:w="2456"/>
      </w:tblGrid>
      <w:tr w:rsidR="00E221EA" w:rsidRPr="00E221EA" w:rsidTr="00CD63E2">
        <w:tc>
          <w:tcPr>
            <w:tcW w:w="397" w:type="dxa"/>
            <w:shd w:val="clear" w:color="auto" w:fill="D0CECE"/>
          </w:tcPr>
          <w:p w:rsidR="00E221EA" w:rsidRPr="00E221EA" w:rsidRDefault="00E221EA" w:rsidP="00E221EA">
            <w:pPr>
              <w:autoSpaceDE w:val="0"/>
              <w:autoSpaceDN w:val="0"/>
              <w:adjustRightInd w:val="0"/>
              <w:rPr>
                <w:rFonts w:cs="Calibri"/>
                <w:b/>
                <w:bCs/>
                <w:color w:val="000000"/>
                <w:sz w:val="20"/>
                <w:szCs w:val="20"/>
                <w:lang w:val="en-PH"/>
              </w:rPr>
            </w:pPr>
          </w:p>
        </w:tc>
        <w:tc>
          <w:tcPr>
            <w:tcW w:w="2292" w:type="dxa"/>
            <w:shd w:val="clear" w:color="auto" w:fill="D0CECE"/>
            <w:vAlign w:val="center"/>
          </w:tcPr>
          <w:p w:rsidR="00E221EA" w:rsidRPr="00E221EA" w:rsidRDefault="00E221EA" w:rsidP="00E221EA">
            <w:pPr>
              <w:autoSpaceDE w:val="0"/>
              <w:autoSpaceDN w:val="0"/>
              <w:adjustRightInd w:val="0"/>
              <w:rPr>
                <w:rFonts w:cs="Calibri"/>
                <w:color w:val="000000"/>
                <w:sz w:val="20"/>
                <w:szCs w:val="20"/>
                <w:lang w:val="en-PH"/>
              </w:rPr>
            </w:pPr>
            <w:r w:rsidRPr="00E221EA">
              <w:rPr>
                <w:rFonts w:cs="Calibri"/>
                <w:b/>
                <w:bCs/>
                <w:color w:val="000000"/>
                <w:sz w:val="20"/>
                <w:szCs w:val="20"/>
                <w:lang w:val="en-US"/>
              </w:rPr>
              <w:t>Item Description</w:t>
            </w:r>
          </w:p>
        </w:tc>
        <w:tc>
          <w:tcPr>
            <w:tcW w:w="3260" w:type="dxa"/>
            <w:shd w:val="clear" w:color="auto" w:fill="D0CECE"/>
            <w:vAlign w:val="center"/>
          </w:tcPr>
          <w:p w:rsidR="00E221EA" w:rsidRPr="00E221EA" w:rsidRDefault="00E221EA" w:rsidP="00E221EA">
            <w:pPr>
              <w:rPr>
                <w:rFonts w:cs="Calibri"/>
                <w:b/>
                <w:sz w:val="20"/>
                <w:szCs w:val="20"/>
              </w:rPr>
            </w:pPr>
            <w:r w:rsidRPr="00E221EA">
              <w:rPr>
                <w:rFonts w:cs="Calibri"/>
                <w:b/>
                <w:sz w:val="20"/>
                <w:szCs w:val="20"/>
                <w:lang w:val="en-US"/>
              </w:rPr>
              <w:t>Specifications</w:t>
            </w:r>
          </w:p>
        </w:tc>
        <w:tc>
          <w:tcPr>
            <w:tcW w:w="709" w:type="dxa"/>
            <w:shd w:val="clear" w:color="auto" w:fill="D0CECE"/>
          </w:tcPr>
          <w:p w:rsidR="00E221EA" w:rsidRPr="00E221EA" w:rsidRDefault="00E221EA" w:rsidP="00E221EA">
            <w:pPr>
              <w:autoSpaceDE w:val="0"/>
              <w:autoSpaceDN w:val="0"/>
              <w:adjustRightInd w:val="0"/>
              <w:rPr>
                <w:rFonts w:cs="Calibri"/>
                <w:b/>
                <w:bCs/>
                <w:color w:val="000000"/>
                <w:sz w:val="20"/>
                <w:szCs w:val="20"/>
                <w:lang w:val="en-US"/>
              </w:rPr>
            </w:pPr>
            <w:r w:rsidRPr="00E221EA">
              <w:rPr>
                <w:rFonts w:cs="Calibri"/>
                <w:b/>
                <w:bCs/>
                <w:color w:val="000000"/>
                <w:sz w:val="20"/>
                <w:szCs w:val="20"/>
                <w:lang w:val="en-US"/>
              </w:rPr>
              <w:t>√</w:t>
            </w:r>
          </w:p>
          <w:p w:rsidR="00E221EA" w:rsidRPr="00E221EA" w:rsidRDefault="00E221EA" w:rsidP="00E221EA">
            <w:pPr>
              <w:autoSpaceDE w:val="0"/>
              <w:autoSpaceDN w:val="0"/>
              <w:adjustRightInd w:val="0"/>
              <w:rPr>
                <w:rFonts w:cs="Calibri"/>
                <w:b/>
                <w:bCs/>
                <w:color w:val="000000"/>
                <w:sz w:val="20"/>
                <w:szCs w:val="20"/>
                <w:lang w:val="en-PH"/>
              </w:rPr>
            </w:pPr>
            <w:r w:rsidRPr="00E221EA">
              <w:rPr>
                <w:rFonts w:cs="Calibri"/>
                <w:b/>
                <w:bCs/>
                <w:color w:val="000000"/>
                <w:sz w:val="20"/>
                <w:szCs w:val="20"/>
                <w:lang w:val="en-PH"/>
              </w:rPr>
              <w:t>Yes</w:t>
            </w:r>
          </w:p>
        </w:tc>
        <w:tc>
          <w:tcPr>
            <w:tcW w:w="708" w:type="dxa"/>
            <w:shd w:val="clear" w:color="auto" w:fill="D0CECE"/>
          </w:tcPr>
          <w:p w:rsidR="00E221EA" w:rsidRPr="00E221EA" w:rsidRDefault="00E221EA" w:rsidP="00E221EA">
            <w:pPr>
              <w:autoSpaceDE w:val="0"/>
              <w:autoSpaceDN w:val="0"/>
              <w:adjustRightInd w:val="0"/>
              <w:rPr>
                <w:rFonts w:cs="Calibri"/>
                <w:b/>
                <w:bCs/>
                <w:color w:val="000000"/>
                <w:sz w:val="20"/>
                <w:szCs w:val="20"/>
                <w:lang w:val="en-US"/>
              </w:rPr>
            </w:pPr>
            <w:r w:rsidRPr="00E221EA">
              <w:rPr>
                <w:rFonts w:cs="Calibri"/>
                <w:b/>
                <w:bCs/>
                <w:color w:val="000000"/>
                <w:sz w:val="20"/>
                <w:szCs w:val="20"/>
                <w:lang w:val="en-US"/>
              </w:rPr>
              <w:t>√</w:t>
            </w:r>
          </w:p>
          <w:p w:rsidR="00E221EA" w:rsidRPr="00E221EA" w:rsidRDefault="00E221EA" w:rsidP="00E221EA">
            <w:pPr>
              <w:autoSpaceDE w:val="0"/>
              <w:autoSpaceDN w:val="0"/>
              <w:adjustRightInd w:val="0"/>
              <w:rPr>
                <w:rFonts w:cs="Calibri"/>
                <w:b/>
                <w:bCs/>
                <w:color w:val="000000"/>
                <w:sz w:val="20"/>
                <w:szCs w:val="20"/>
                <w:lang w:val="en-PH"/>
              </w:rPr>
            </w:pPr>
            <w:r w:rsidRPr="00E221EA">
              <w:rPr>
                <w:rFonts w:cs="Calibri"/>
                <w:b/>
                <w:bCs/>
                <w:color w:val="000000"/>
                <w:sz w:val="20"/>
                <w:szCs w:val="20"/>
                <w:lang w:val="en-PH"/>
              </w:rPr>
              <w:t>No</w:t>
            </w:r>
          </w:p>
        </w:tc>
        <w:tc>
          <w:tcPr>
            <w:tcW w:w="2830" w:type="dxa"/>
            <w:shd w:val="clear" w:color="auto" w:fill="D0CECE"/>
          </w:tcPr>
          <w:p w:rsidR="00E221EA" w:rsidRPr="00E221EA" w:rsidRDefault="00E221EA" w:rsidP="00E221EA">
            <w:pPr>
              <w:autoSpaceDE w:val="0"/>
              <w:autoSpaceDN w:val="0"/>
              <w:adjustRightInd w:val="0"/>
              <w:rPr>
                <w:rFonts w:cs="Calibri"/>
                <w:color w:val="000000"/>
                <w:sz w:val="20"/>
                <w:szCs w:val="20"/>
                <w:lang w:val="en-PH"/>
              </w:rPr>
            </w:pPr>
            <w:r w:rsidRPr="00E221EA">
              <w:rPr>
                <w:rFonts w:cs="Calibri"/>
                <w:b/>
                <w:bCs/>
                <w:color w:val="000000"/>
                <w:sz w:val="20"/>
                <w:szCs w:val="20"/>
                <w:lang w:val="en-PH"/>
              </w:rPr>
              <w:t xml:space="preserve">Technical Compliance </w:t>
            </w:r>
          </w:p>
          <w:p w:rsidR="00E221EA" w:rsidRPr="00E221EA" w:rsidRDefault="00E221EA" w:rsidP="00E221EA">
            <w:pPr>
              <w:rPr>
                <w:rFonts w:cs="Calibri"/>
                <w:sz w:val="20"/>
                <w:szCs w:val="20"/>
              </w:rPr>
            </w:pPr>
            <w:r w:rsidRPr="00E221EA">
              <w:rPr>
                <w:rFonts w:eastAsia="Times New Roman" w:cs="Calibri"/>
                <w:b/>
                <w:bCs/>
                <w:kern w:val="28"/>
                <w:sz w:val="20"/>
                <w:szCs w:val="20"/>
              </w:rPr>
              <w:t xml:space="preserve">Please provide details /description of offered feature) </w:t>
            </w:r>
          </w:p>
        </w:tc>
      </w:tr>
      <w:tr w:rsidR="00E221EA" w:rsidRPr="00E221EA" w:rsidTr="00CD63E2">
        <w:trPr>
          <w:trHeight w:val="227"/>
        </w:trPr>
        <w:tc>
          <w:tcPr>
            <w:tcW w:w="397" w:type="dxa"/>
            <w:vMerge w:val="restart"/>
            <w:shd w:val="clear" w:color="auto" w:fill="auto"/>
          </w:tcPr>
          <w:p w:rsidR="00E221EA" w:rsidRPr="00E221EA" w:rsidRDefault="00E221EA" w:rsidP="00E221EA">
            <w:pPr>
              <w:rPr>
                <w:rFonts w:cs="Calibri"/>
                <w:b/>
                <w:sz w:val="20"/>
                <w:szCs w:val="20"/>
              </w:rPr>
            </w:pPr>
            <w:r w:rsidRPr="00E221EA">
              <w:rPr>
                <w:rFonts w:cs="Calibri"/>
                <w:b/>
                <w:sz w:val="20"/>
                <w:szCs w:val="20"/>
              </w:rPr>
              <w:t>1</w:t>
            </w:r>
          </w:p>
        </w:tc>
        <w:tc>
          <w:tcPr>
            <w:tcW w:w="5552" w:type="dxa"/>
            <w:gridSpan w:val="2"/>
            <w:shd w:val="clear" w:color="auto" w:fill="BDD6EE"/>
          </w:tcPr>
          <w:p w:rsidR="00E221EA" w:rsidRPr="00E221EA" w:rsidRDefault="00E221EA" w:rsidP="00E221EA">
            <w:pPr>
              <w:rPr>
                <w:rFonts w:cs="Calibri"/>
                <w:b/>
                <w:sz w:val="20"/>
                <w:szCs w:val="20"/>
              </w:rPr>
            </w:pPr>
            <w:r w:rsidRPr="00E221EA">
              <w:rPr>
                <w:rFonts w:cs="Calibri"/>
                <w:b/>
                <w:bCs/>
                <w:sz w:val="20"/>
                <w:szCs w:val="20"/>
              </w:rPr>
              <w:t>Waste Disposal Truck</w:t>
            </w:r>
          </w:p>
        </w:tc>
        <w:tc>
          <w:tcPr>
            <w:tcW w:w="709" w:type="dxa"/>
            <w:shd w:val="clear" w:color="auto" w:fill="BDD6EE"/>
          </w:tcPr>
          <w:p w:rsidR="00E221EA" w:rsidRPr="00E221EA" w:rsidRDefault="00E221EA" w:rsidP="00E221EA">
            <w:pPr>
              <w:rPr>
                <w:rFonts w:cs="Calibri"/>
                <w:b/>
                <w:sz w:val="20"/>
                <w:szCs w:val="20"/>
              </w:rPr>
            </w:pPr>
          </w:p>
        </w:tc>
        <w:tc>
          <w:tcPr>
            <w:tcW w:w="708" w:type="dxa"/>
            <w:shd w:val="clear" w:color="auto" w:fill="BDD6EE"/>
          </w:tcPr>
          <w:p w:rsidR="00E221EA" w:rsidRPr="00E221EA" w:rsidRDefault="00E221EA" w:rsidP="00E221EA">
            <w:pPr>
              <w:rPr>
                <w:rFonts w:cs="Calibri"/>
                <w:b/>
                <w:sz w:val="20"/>
                <w:szCs w:val="20"/>
              </w:rPr>
            </w:pPr>
          </w:p>
        </w:tc>
        <w:tc>
          <w:tcPr>
            <w:tcW w:w="2830" w:type="dxa"/>
            <w:shd w:val="clear" w:color="auto" w:fill="BDD6EE"/>
          </w:tcPr>
          <w:p w:rsidR="00E221EA" w:rsidRPr="00E221EA" w:rsidRDefault="00E221EA" w:rsidP="00E221EA">
            <w:pPr>
              <w:rPr>
                <w:rFonts w:cs="Calibri"/>
                <w:b/>
                <w:sz w:val="20"/>
                <w:szCs w:val="20"/>
              </w:rPr>
            </w:pPr>
          </w:p>
        </w:tc>
      </w:tr>
      <w:tr w:rsidR="00E221EA" w:rsidRPr="00E221EA" w:rsidTr="00CD63E2">
        <w:trPr>
          <w:trHeight w:val="227"/>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Condition</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Brand New, year of production 2016 or later</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86"/>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Dimensions (± 5%)</w:t>
            </w:r>
          </w:p>
        </w:tc>
        <w:tc>
          <w:tcPr>
            <w:tcW w:w="3260" w:type="dxa"/>
          </w:tcPr>
          <w:p w:rsidR="00E221EA" w:rsidRPr="00E221EA" w:rsidRDefault="00E221EA" w:rsidP="00E221EA">
            <w:pPr>
              <w:widowControl w:val="0"/>
              <w:overflowPunct w:val="0"/>
              <w:adjustRightInd w:val="0"/>
              <w:rPr>
                <w:rFonts w:eastAsia="Times New Roman"/>
                <w:kern w:val="28"/>
                <w:sz w:val="18"/>
                <w:szCs w:val="18"/>
                <w:lang w:val="en-US"/>
              </w:rPr>
            </w:pPr>
            <w:r w:rsidRPr="00E221EA">
              <w:rPr>
                <w:rFonts w:eastAsia="Times New Roman"/>
                <w:kern w:val="28"/>
                <w:sz w:val="18"/>
                <w:szCs w:val="18"/>
                <w:lang w:val="en-US"/>
              </w:rPr>
              <w:t>Length, mm: max. 6500</w:t>
            </w:r>
          </w:p>
          <w:p w:rsidR="00E221EA" w:rsidRPr="00E221EA" w:rsidRDefault="00E221EA" w:rsidP="00E221EA">
            <w:pPr>
              <w:widowControl w:val="0"/>
              <w:overflowPunct w:val="0"/>
              <w:adjustRightInd w:val="0"/>
              <w:rPr>
                <w:rFonts w:eastAsia="Times New Roman"/>
                <w:kern w:val="28"/>
                <w:sz w:val="18"/>
                <w:szCs w:val="18"/>
                <w:lang w:val="en-US"/>
              </w:rPr>
            </w:pPr>
            <w:r w:rsidRPr="00E221EA">
              <w:rPr>
                <w:rFonts w:eastAsia="Times New Roman"/>
                <w:kern w:val="28"/>
                <w:sz w:val="18"/>
                <w:szCs w:val="18"/>
                <w:lang w:val="en-US"/>
              </w:rPr>
              <w:t>Width, mm: max. 2600</w:t>
            </w:r>
          </w:p>
          <w:p w:rsidR="00E221EA" w:rsidRPr="00E221EA" w:rsidRDefault="00E221EA" w:rsidP="00E221EA">
            <w:pPr>
              <w:rPr>
                <w:rFonts w:cs="Calibri"/>
                <w:sz w:val="18"/>
                <w:szCs w:val="18"/>
              </w:rPr>
            </w:pPr>
            <w:r w:rsidRPr="00E221EA">
              <w:rPr>
                <w:rFonts w:eastAsia="Times New Roman"/>
                <w:kern w:val="28"/>
                <w:sz w:val="18"/>
                <w:szCs w:val="18"/>
                <w:lang w:val="en-US"/>
              </w:rPr>
              <w:t>Height, mm: max. 3200</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94"/>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Total vehicle weight, kg, (± 5%)</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 xml:space="preserve">max. </w:t>
            </w:r>
            <w:r w:rsidRPr="00E221EA">
              <w:rPr>
                <w:rFonts w:eastAsia="Times New Roman"/>
                <w:kern w:val="28"/>
                <w:sz w:val="18"/>
                <w:szCs w:val="18"/>
                <w:lang w:val="ru-RU"/>
              </w:rPr>
              <w:t>8</w:t>
            </w:r>
            <w:r w:rsidRPr="00E221EA">
              <w:rPr>
                <w:rFonts w:eastAsia="Times New Roman"/>
                <w:kern w:val="28"/>
                <w:sz w:val="18"/>
                <w:szCs w:val="18"/>
                <w:lang w:val="en-US"/>
              </w:rPr>
              <w:t>,</w:t>
            </w:r>
            <w:r w:rsidRPr="00E221EA">
              <w:rPr>
                <w:rFonts w:eastAsia="Times New Roman"/>
                <w:kern w:val="28"/>
                <w:sz w:val="18"/>
                <w:szCs w:val="18"/>
                <w:lang w:val="ru-RU"/>
              </w:rPr>
              <w:t>500</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Fuel</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Diesel</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Engine Horsepower HP, (± 5%)</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 xml:space="preserve">min. 125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European emission standards</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 xml:space="preserve">Min. “Euro 3”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Steering</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Steering mechanism with the hydraulic booster</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Standard equipment</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Spare wheel. First aid kit. Emergency triangle and lantern, lifting jack. The bracket for the installation of fire extinguishers. Set of tools.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22"/>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Warranty</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12 months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E221EA">
        <w:tc>
          <w:tcPr>
            <w:tcW w:w="397" w:type="dxa"/>
            <w:vMerge/>
            <w:shd w:val="clear" w:color="auto" w:fill="auto"/>
          </w:tcPr>
          <w:p w:rsidR="00E221EA" w:rsidRPr="00E221EA" w:rsidRDefault="00E221EA" w:rsidP="00E221EA">
            <w:pPr>
              <w:rPr>
                <w:rFonts w:cs="Calibri"/>
                <w:sz w:val="20"/>
                <w:szCs w:val="20"/>
              </w:rPr>
            </w:pPr>
          </w:p>
        </w:tc>
        <w:tc>
          <w:tcPr>
            <w:tcW w:w="5552" w:type="dxa"/>
            <w:gridSpan w:val="2"/>
            <w:shd w:val="clear" w:color="auto" w:fill="B8CCE4"/>
          </w:tcPr>
          <w:p w:rsidR="00E221EA" w:rsidRPr="00E221EA" w:rsidRDefault="00E221EA" w:rsidP="00E221EA">
            <w:pPr>
              <w:rPr>
                <w:rFonts w:cs="Calibri"/>
                <w:sz w:val="20"/>
                <w:szCs w:val="20"/>
              </w:rPr>
            </w:pPr>
            <w:r w:rsidRPr="00E221EA">
              <w:rPr>
                <w:rFonts w:cs="Calibri"/>
                <w:sz w:val="20"/>
                <w:szCs w:val="20"/>
              </w:rPr>
              <w:t>Technical specifications of the waste container</w:t>
            </w:r>
          </w:p>
        </w:tc>
        <w:tc>
          <w:tcPr>
            <w:tcW w:w="709" w:type="dxa"/>
            <w:shd w:val="clear" w:color="auto" w:fill="B8CCE4"/>
          </w:tcPr>
          <w:p w:rsidR="00E221EA" w:rsidRPr="00E221EA" w:rsidRDefault="00E221EA" w:rsidP="00E221EA">
            <w:pPr>
              <w:rPr>
                <w:rFonts w:cs="Calibri"/>
                <w:sz w:val="20"/>
                <w:szCs w:val="20"/>
              </w:rPr>
            </w:pPr>
          </w:p>
        </w:tc>
        <w:tc>
          <w:tcPr>
            <w:tcW w:w="708" w:type="dxa"/>
            <w:shd w:val="clear" w:color="auto" w:fill="B8CCE4"/>
          </w:tcPr>
          <w:p w:rsidR="00E221EA" w:rsidRPr="00E221EA" w:rsidRDefault="00E221EA" w:rsidP="00E221EA">
            <w:pPr>
              <w:rPr>
                <w:rFonts w:cs="Calibri"/>
                <w:sz w:val="20"/>
                <w:szCs w:val="20"/>
              </w:rPr>
            </w:pPr>
          </w:p>
        </w:tc>
        <w:tc>
          <w:tcPr>
            <w:tcW w:w="2830" w:type="dxa"/>
            <w:shd w:val="clear" w:color="auto" w:fill="B8CCE4"/>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 xml:space="preserve">Loading type </w:t>
            </w:r>
          </w:p>
        </w:tc>
        <w:tc>
          <w:tcPr>
            <w:tcW w:w="3260" w:type="dxa"/>
          </w:tcPr>
          <w:p w:rsidR="00E221EA" w:rsidRPr="00E221EA" w:rsidRDefault="00E221EA" w:rsidP="00E221EA">
            <w:pPr>
              <w:widowControl w:val="0"/>
              <w:overflowPunct w:val="0"/>
              <w:adjustRightInd w:val="0"/>
              <w:rPr>
                <w:rFonts w:eastAsia="Times New Roman"/>
                <w:kern w:val="28"/>
                <w:sz w:val="20"/>
                <w:szCs w:val="20"/>
                <w:lang w:val="en-US"/>
              </w:rPr>
            </w:pPr>
            <w:r w:rsidRPr="00E221EA">
              <w:rPr>
                <w:rFonts w:eastAsia="Times New Roman"/>
                <w:kern w:val="28"/>
                <w:sz w:val="20"/>
                <w:szCs w:val="20"/>
                <w:lang w:val="en-US"/>
              </w:rPr>
              <w:t>Back loading;</w:t>
            </w:r>
          </w:p>
          <w:p w:rsidR="00E221EA" w:rsidRPr="00E221EA" w:rsidRDefault="00E221EA" w:rsidP="00E221EA">
            <w:pPr>
              <w:widowControl w:val="0"/>
              <w:overflowPunct w:val="0"/>
              <w:adjustRightInd w:val="0"/>
              <w:rPr>
                <w:rFonts w:eastAsia="Times New Roman"/>
                <w:kern w:val="28"/>
                <w:sz w:val="20"/>
                <w:szCs w:val="20"/>
                <w:lang w:val="en-US"/>
              </w:rPr>
            </w:pPr>
            <w:r w:rsidRPr="00E221EA">
              <w:rPr>
                <w:rFonts w:eastAsia="Times New Roman"/>
                <w:kern w:val="28"/>
                <w:sz w:val="20"/>
                <w:szCs w:val="20"/>
                <w:lang w:val="en-US"/>
              </w:rPr>
              <w:t>1. Automatic loading:</w:t>
            </w:r>
          </w:p>
          <w:p w:rsidR="00E221EA" w:rsidRPr="00E221EA" w:rsidRDefault="00E221EA" w:rsidP="00E221EA">
            <w:pPr>
              <w:widowControl w:val="0"/>
              <w:overflowPunct w:val="0"/>
              <w:adjustRightInd w:val="0"/>
              <w:rPr>
                <w:rFonts w:eastAsia="Times New Roman"/>
                <w:kern w:val="28"/>
                <w:sz w:val="20"/>
                <w:szCs w:val="20"/>
                <w:lang w:val="en-US"/>
              </w:rPr>
            </w:pPr>
            <w:r w:rsidRPr="00E221EA">
              <w:rPr>
                <w:rFonts w:eastAsia="Times New Roman"/>
                <w:kern w:val="28"/>
                <w:sz w:val="20"/>
                <w:szCs w:val="20"/>
                <w:lang w:val="en-US"/>
              </w:rPr>
              <w:t>Small dustbins – minimum 120 litters; (euro-standard)</w:t>
            </w:r>
          </w:p>
          <w:p w:rsidR="00E221EA" w:rsidRPr="00E221EA" w:rsidRDefault="00E221EA" w:rsidP="00E221EA">
            <w:pPr>
              <w:widowControl w:val="0"/>
              <w:overflowPunct w:val="0"/>
              <w:adjustRightInd w:val="0"/>
              <w:rPr>
                <w:rFonts w:eastAsia="Times New Roman"/>
                <w:kern w:val="28"/>
                <w:sz w:val="20"/>
                <w:szCs w:val="20"/>
                <w:lang w:val="en-US"/>
              </w:rPr>
            </w:pPr>
            <w:r w:rsidRPr="00E221EA">
              <w:rPr>
                <w:rFonts w:eastAsia="Times New Roman"/>
                <w:kern w:val="28"/>
                <w:sz w:val="20"/>
                <w:szCs w:val="20"/>
                <w:lang w:val="en-US"/>
              </w:rPr>
              <w:t>Big dustbins - minimum 750 litters; (euro-standard)</w:t>
            </w:r>
          </w:p>
          <w:p w:rsidR="00E221EA" w:rsidRPr="00E221EA" w:rsidRDefault="00E221EA" w:rsidP="00E221EA">
            <w:pPr>
              <w:widowControl w:val="0"/>
              <w:overflowPunct w:val="0"/>
              <w:adjustRightInd w:val="0"/>
              <w:rPr>
                <w:rFonts w:eastAsia="Times New Roman"/>
                <w:kern w:val="28"/>
                <w:sz w:val="20"/>
                <w:szCs w:val="20"/>
                <w:lang w:val="en-US"/>
              </w:rPr>
            </w:pPr>
            <w:r w:rsidRPr="00E221EA">
              <w:rPr>
                <w:rFonts w:eastAsia="Times New Roman"/>
                <w:kern w:val="28"/>
                <w:sz w:val="20"/>
                <w:szCs w:val="20"/>
                <w:lang w:val="en-US"/>
              </w:rPr>
              <w:t>OR</w:t>
            </w:r>
          </w:p>
          <w:p w:rsidR="00E221EA" w:rsidRPr="00E221EA" w:rsidRDefault="00E221EA" w:rsidP="00E221EA">
            <w:pPr>
              <w:rPr>
                <w:rFonts w:cs="Calibri"/>
                <w:sz w:val="18"/>
                <w:szCs w:val="18"/>
              </w:rPr>
            </w:pPr>
            <w:r w:rsidRPr="00E221EA">
              <w:rPr>
                <w:rFonts w:eastAsia="Times New Roman"/>
                <w:kern w:val="28"/>
                <w:sz w:val="20"/>
                <w:szCs w:val="20"/>
                <w:lang w:val="en-US"/>
              </w:rPr>
              <w:t xml:space="preserve">2. Manual loading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Capacity of load container, m</w:t>
            </w:r>
            <w:r w:rsidRPr="00E221EA">
              <w:rPr>
                <w:rFonts w:eastAsia="Times New Roman"/>
                <w:b/>
                <w:kern w:val="28"/>
                <w:sz w:val="20"/>
                <w:szCs w:val="20"/>
                <w:vertAlign w:val="superscript"/>
                <w:lang w:val="en-US"/>
              </w:rPr>
              <w:t>3</w:t>
            </w:r>
            <w:r w:rsidRPr="00E221EA">
              <w:rPr>
                <w:rFonts w:eastAsia="Times New Roman"/>
                <w:kern w:val="28"/>
                <w:sz w:val="20"/>
                <w:szCs w:val="20"/>
                <w:lang w:val="en-US"/>
              </w:rPr>
              <w:t>, (± 10%)</w:t>
            </w:r>
          </w:p>
        </w:tc>
        <w:tc>
          <w:tcPr>
            <w:tcW w:w="3260" w:type="dxa"/>
          </w:tcPr>
          <w:p w:rsidR="00E221EA" w:rsidRPr="00E221EA" w:rsidRDefault="00E221EA" w:rsidP="00E221EA">
            <w:pPr>
              <w:rPr>
                <w:rFonts w:cs="Calibri"/>
                <w:sz w:val="18"/>
                <w:szCs w:val="18"/>
              </w:rPr>
            </w:pPr>
            <w:r w:rsidRPr="00E221EA">
              <w:rPr>
                <w:rFonts w:eastAsia="Times New Roman"/>
                <w:kern w:val="28"/>
                <w:sz w:val="20"/>
                <w:szCs w:val="20"/>
                <w:lang w:val="en-US"/>
              </w:rPr>
              <w:t>7,5</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Lifting capacity of manipulating arm, kg</w:t>
            </w:r>
          </w:p>
        </w:tc>
        <w:tc>
          <w:tcPr>
            <w:tcW w:w="3260" w:type="dxa"/>
          </w:tcPr>
          <w:p w:rsidR="00E221EA" w:rsidRPr="00E221EA" w:rsidRDefault="00E221EA" w:rsidP="00E221EA">
            <w:pPr>
              <w:rPr>
                <w:rFonts w:cs="Calibri"/>
                <w:sz w:val="18"/>
                <w:szCs w:val="18"/>
              </w:rPr>
            </w:pPr>
            <w:r w:rsidRPr="00E221EA">
              <w:rPr>
                <w:rFonts w:eastAsia="Times New Roman"/>
                <w:kern w:val="28"/>
                <w:sz w:val="20"/>
                <w:szCs w:val="20"/>
                <w:lang w:val="en-US"/>
              </w:rPr>
              <w:t>Min. 600 (in case of manual loading)</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498"/>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widowControl w:val="0"/>
              <w:overflowPunct w:val="0"/>
              <w:adjustRightInd w:val="0"/>
              <w:rPr>
                <w:rFonts w:cs="Calibri"/>
                <w:sz w:val="20"/>
                <w:szCs w:val="20"/>
              </w:rPr>
            </w:pPr>
            <w:r w:rsidRPr="00E221EA">
              <w:rPr>
                <w:rFonts w:eastAsia="Times New Roman"/>
                <w:kern w:val="28"/>
                <w:sz w:val="20"/>
                <w:szCs w:val="20"/>
                <w:lang w:val="en-US"/>
              </w:rPr>
              <w:t>Compaction ratio</w:t>
            </w:r>
          </w:p>
        </w:tc>
        <w:tc>
          <w:tcPr>
            <w:tcW w:w="3260" w:type="dxa"/>
          </w:tcPr>
          <w:p w:rsidR="00E221EA" w:rsidRPr="00E221EA" w:rsidRDefault="00E221EA" w:rsidP="00E221EA">
            <w:pPr>
              <w:widowControl w:val="0"/>
              <w:overflowPunct w:val="0"/>
              <w:adjustRightInd w:val="0"/>
              <w:rPr>
                <w:rFonts w:cs="Calibri"/>
                <w:sz w:val="18"/>
                <w:szCs w:val="18"/>
              </w:rPr>
            </w:pPr>
            <w:r w:rsidRPr="00E221EA">
              <w:rPr>
                <w:rFonts w:eastAsia="Times New Roman"/>
                <w:kern w:val="28"/>
                <w:sz w:val="20"/>
                <w:szCs w:val="20"/>
                <w:lang w:val="en-US"/>
              </w:rPr>
              <w:t>1,5 – 4 (depending on the density of the load)</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331"/>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Mass of loaded waste, kg</w:t>
            </w:r>
          </w:p>
        </w:tc>
        <w:tc>
          <w:tcPr>
            <w:tcW w:w="3260" w:type="dxa"/>
          </w:tcPr>
          <w:p w:rsidR="00E221EA" w:rsidRPr="00E221EA" w:rsidRDefault="00E221EA" w:rsidP="00E221EA">
            <w:pPr>
              <w:rPr>
                <w:rFonts w:cs="Calibri"/>
                <w:sz w:val="18"/>
                <w:szCs w:val="18"/>
              </w:rPr>
            </w:pPr>
            <w:r w:rsidRPr="00E221EA">
              <w:rPr>
                <w:rFonts w:eastAsia="Times New Roman"/>
                <w:kern w:val="28"/>
                <w:sz w:val="20"/>
                <w:szCs w:val="20"/>
                <w:lang w:val="en-US"/>
              </w:rPr>
              <w:t xml:space="preserve">min. 3000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bl>
    <w:p w:rsidR="00E221EA" w:rsidRPr="00E221EA" w:rsidRDefault="00E221EA" w:rsidP="00E221EA">
      <w:pPr>
        <w:widowControl w:val="0"/>
        <w:overflowPunct w:val="0"/>
        <w:adjustRightInd w:val="0"/>
        <w:spacing w:after="0" w:line="240" w:lineRule="auto"/>
        <w:rPr>
          <w:rFonts w:ascii="Times New Roman" w:eastAsia="Times New Roman" w:hAnsi="Times New Roman" w:cs="Times New Roman"/>
          <w:kern w:val="28"/>
          <w:sz w:val="24"/>
          <w:szCs w:val="24"/>
          <w:lang w:val="en-US"/>
        </w:rPr>
      </w:pPr>
    </w:p>
    <w:p w:rsidR="00E221EA" w:rsidRPr="00E221EA" w:rsidRDefault="00E221EA" w:rsidP="00E221EA">
      <w:pPr>
        <w:spacing w:after="0" w:line="240" w:lineRule="auto"/>
        <w:rPr>
          <w:rFonts w:ascii="Times New Roman" w:eastAsia="Times New Roman" w:hAnsi="Times New Roman" w:cs="Times New Roman"/>
          <w:kern w:val="28"/>
          <w:sz w:val="24"/>
          <w:szCs w:val="24"/>
          <w:lang w:val="en-US"/>
        </w:rPr>
      </w:pPr>
      <w:r w:rsidRPr="00E221EA">
        <w:rPr>
          <w:rFonts w:ascii="Times New Roman" w:eastAsia="Times New Roman" w:hAnsi="Times New Roman" w:cs="Times New Roman"/>
          <w:kern w:val="28"/>
          <w:sz w:val="24"/>
          <w:szCs w:val="24"/>
          <w:lang w:val="en-US"/>
        </w:rPr>
        <w:br w:type="page"/>
      </w:r>
    </w:p>
    <w:p w:rsidR="00E221EA" w:rsidRPr="00E221EA" w:rsidRDefault="00E221EA" w:rsidP="00E221EA">
      <w:pPr>
        <w:widowControl w:val="0"/>
        <w:shd w:val="clear" w:color="auto" w:fill="FBD4B4"/>
        <w:overflowPunct w:val="0"/>
        <w:adjustRightInd w:val="0"/>
        <w:spacing w:after="0" w:line="240" w:lineRule="auto"/>
        <w:rPr>
          <w:rFonts w:ascii="Myriad Pro" w:eastAsia="Times New Roman" w:hAnsi="Myriad Pro" w:cs="Times New Roman"/>
          <w:b/>
          <w:kern w:val="28"/>
          <w:sz w:val="24"/>
          <w:szCs w:val="24"/>
          <w:lang w:val="en-US"/>
        </w:rPr>
      </w:pPr>
      <w:r w:rsidRPr="00E221EA">
        <w:rPr>
          <w:rFonts w:ascii="Myriad Pro" w:eastAsia="Times New Roman" w:hAnsi="Myriad Pro" w:cs="Times New Roman"/>
          <w:b/>
          <w:kern w:val="28"/>
          <w:sz w:val="24"/>
          <w:szCs w:val="24"/>
          <w:lang w:val="en-US"/>
        </w:rPr>
        <w:lastRenderedPageBreak/>
        <w:t>LOT #2</w:t>
      </w:r>
    </w:p>
    <w:tbl>
      <w:tblPr>
        <w:tblStyle w:val="1"/>
        <w:tblW w:w="0" w:type="auto"/>
        <w:tblLook w:val="04A0" w:firstRow="1" w:lastRow="0" w:firstColumn="1" w:lastColumn="0" w:noHBand="0" w:noVBand="1"/>
      </w:tblPr>
      <w:tblGrid>
        <w:gridCol w:w="378"/>
        <w:gridCol w:w="2044"/>
        <w:gridCol w:w="2821"/>
        <w:gridCol w:w="661"/>
        <w:gridCol w:w="650"/>
        <w:gridCol w:w="2462"/>
      </w:tblGrid>
      <w:tr w:rsidR="00E221EA" w:rsidRPr="00E221EA" w:rsidTr="00CD63E2">
        <w:tc>
          <w:tcPr>
            <w:tcW w:w="397" w:type="dxa"/>
            <w:shd w:val="clear" w:color="auto" w:fill="D0CECE"/>
          </w:tcPr>
          <w:p w:rsidR="00E221EA" w:rsidRPr="00E221EA" w:rsidRDefault="00E221EA" w:rsidP="00E221EA">
            <w:pPr>
              <w:autoSpaceDE w:val="0"/>
              <w:autoSpaceDN w:val="0"/>
              <w:adjustRightInd w:val="0"/>
              <w:rPr>
                <w:rFonts w:cs="Calibri"/>
                <w:b/>
                <w:bCs/>
                <w:color w:val="000000"/>
                <w:sz w:val="20"/>
                <w:szCs w:val="20"/>
                <w:lang w:val="en-PH"/>
              </w:rPr>
            </w:pPr>
          </w:p>
        </w:tc>
        <w:tc>
          <w:tcPr>
            <w:tcW w:w="2292" w:type="dxa"/>
            <w:shd w:val="clear" w:color="auto" w:fill="D0CECE"/>
            <w:vAlign w:val="center"/>
          </w:tcPr>
          <w:p w:rsidR="00E221EA" w:rsidRPr="00E221EA" w:rsidRDefault="00E221EA" w:rsidP="00E221EA">
            <w:pPr>
              <w:autoSpaceDE w:val="0"/>
              <w:autoSpaceDN w:val="0"/>
              <w:adjustRightInd w:val="0"/>
              <w:rPr>
                <w:rFonts w:cs="Calibri"/>
                <w:color w:val="000000"/>
                <w:sz w:val="20"/>
                <w:szCs w:val="20"/>
                <w:lang w:val="en-PH"/>
              </w:rPr>
            </w:pPr>
            <w:r w:rsidRPr="00E221EA">
              <w:rPr>
                <w:rFonts w:cs="Calibri"/>
                <w:b/>
                <w:bCs/>
                <w:color w:val="000000"/>
                <w:sz w:val="20"/>
                <w:szCs w:val="20"/>
                <w:lang w:val="en-US"/>
              </w:rPr>
              <w:t>Item Description</w:t>
            </w:r>
          </w:p>
        </w:tc>
        <w:tc>
          <w:tcPr>
            <w:tcW w:w="3260" w:type="dxa"/>
            <w:shd w:val="clear" w:color="auto" w:fill="D0CECE"/>
            <w:vAlign w:val="center"/>
          </w:tcPr>
          <w:p w:rsidR="00E221EA" w:rsidRPr="00E221EA" w:rsidRDefault="00E221EA" w:rsidP="00E221EA">
            <w:pPr>
              <w:rPr>
                <w:rFonts w:cs="Calibri"/>
                <w:b/>
                <w:sz w:val="20"/>
                <w:szCs w:val="20"/>
              </w:rPr>
            </w:pPr>
            <w:r w:rsidRPr="00E221EA">
              <w:rPr>
                <w:rFonts w:cs="Calibri"/>
                <w:b/>
                <w:sz w:val="20"/>
                <w:szCs w:val="20"/>
                <w:lang w:val="en-US"/>
              </w:rPr>
              <w:t>Specifications</w:t>
            </w:r>
          </w:p>
        </w:tc>
        <w:tc>
          <w:tcPr>
            <w:tcW w:w="709" w:type="dxa"/>
            <w:shd w:val="clear" w:color="auto" w:fill="D0CECE"/>
          </w:tcPr>
          <w:p w:rsidR="00E221EA" w:rsidRPr="00E221EA" w:rsidRDefault="00E221EA" w:rsidP="00E221EA">
            <w:pPr>
              <w:autoSpaceDE w:val="0"/>
              <w:autoSpaceDN w:val="0"/>
              <w:adjustRightInd w:val="0"/>
              <w:rPr>
                <w:rFonts w:cs="Calibri"/>
                <w:b/>
                <w:bCs/>
                <w:color w:val="000000"/>
                <w:sz w:val="20"/>
                <w:szCs w:val="20"/>
                <w:lang w:val="en-US"/>
              </w:rPr>
            </w:pPr>
            <w:r w:rsidRPr="00E221EA">
              <w:rPr>
                <w:rFonts w:cs="Calibri"/>
                <w:b/>
                <w:bCs/>
                <w:color w:val="000000"/>
                <w:sz w:val="20"/>
                <w:szCs w:val="20"/>
                <w:lang w:val="en-US"/>
              </w:rPr>
              <w:t>√</w:t>
            </w:r>
          </w:p>
          <w:p w:rsidR="00E221EA" w:rsidRPr="00E221EA" w:rsidRDefault="00E221EA" w:rsidP="00E221EA">
            <w:pPr>
              <w:autoSpaceDE w:val="0"/>
              <w:autoSpaceDN w:val="0"/>
              <w:adjustRightInd w:val="0"/>
              <w:rPr>
                <w:rFonts w:cs="Calibri"/>
                <w:b/>
                <w:bCs/>
                <w:color w:val="000000"/>
                <w:sz w:val="20"/>
                <w:szCs w:val="20"/>
                <w:lang w:val="en-PH"/>
              </w:rPr>
            </w:pPr>
            <w:r w:rsidRPr="00E221EA">
              <w:rPr>
                <w:rFonts w:cs="Calibri"/>
                <w:b/>
                <w:bCs/>
                <w:color w:val="000000"/>
                <w:sz w:val="20"/>
                <w:szCs w:val="20"/>
                <w:lang w:val="en-PH"/>
              </w:rPr>
              <w:t>Yes</w:t>
            </w:r>
          </w:p>
        </w:tc>
        <w:tc>
          <w:tcPr>
            <w:tcW w:w="708" w:type="dxa"/>
            <w:shd w:val="clear" w:color="auto" w:fill="D0CECE"/>
          </w:tcPr>
          <w:p w:rsidR="00E221EA" w:rsidRPr="00E221EA" w:rsidRDefault="00E221EA" w:rsidP="00E221EA">
            <w:pPr>
              <w:autoSpaceDE w:val="0"/>
              <w:autoSpaceDN w:val="0"/>
              <w:adjustRightInd w:val="0"/>
              <w:rPr>
                <w:rFonts w:cs="Calibri"/>
                <w:b/>
                <w:bCs/>
                <w:color w:val="000000"/>
                <w:sz w:val="20"/>
                <w:szCs w:val="20"/>
                <w:lang w:val="en-US"/>
              </w:rPr>
            </w:pPr>
            <w:r w:rsidRPr="00E221EA">
              <w:rPr>
                <w:rFonts w:cs="Calibri"/>
                <w:b/>
                <w:bCs/>
                <w:color w:val="000000"/>
                <w:sz w:val="20"/>
                <w:szCs w:val="20"/>
                <w:lang w:val="en-US"/>
              </w:rPr>
              <w:t>√</w:t>
            </w:r>
          </w:p>
          <w:p w:rsidR="00E221EA" w:rsidRPr="00E221EA" w:rsidRDefault="00E221EA" w:rsidP="00E221EA">
            <w:pPr>
              <w:autoSpaceDE w:val="0"/>
              <w:autoSpaceDN w:val="0"/>
              <w:adjustRightInd w:val="0"/>
              <w:rPr>
                <w:rFonts w:cs="Calibri"/>
                <w:b/>
                <w:bCs/>
                <w:color w:val="000000"/>
                <w:sz w:val="20"/>
                <w:szCs w:val="20"/>
                <w:lang w:val="en-PH"/>
              </w:rPr>
            </w:pPr>
            <w:r w:rsidRPr="00E221EA">
              <w:rPr>
                <w:rFonts w:cs="Calibri"/>
                <w:b/>
                <w:bCs/>
                <w:color w:val="000000"/>
                <w:sz w:val="20"/>
                <w:szCs w:val="20"/>
                <w:lang w:val="en-PH"/>
              </w:rPr>
              <w:t>No</w:t>
            </w:r>
          </w:p>
        </w:tc>
        <w:tc>
          <w:tcPr>
            <w:tcW w:w="2830" w:type="dxa"/>
            <w:shd w:val="clear" w:color="auto" w:fill="D0CECE"/>
          </w:tcPr>
          <w:p w:rsidR="00E221EA" w:rsidRPr="00E221EA" w:rsidRDefault="00E221EA" w:rsidP="00E221EA">
            <w:pPr>
              <w:autoSpaceDE w:val="0"/>
              <w:autoSpaceDN w:val="0"/>
              <w:adjustRightInd w:val="0"/>
              <w:rPr>
                <w:rFonts w:cs="Calibri"/>
                <w:color w:val="000000"/>
                <w:sz w:val="20"/>
                <w:szCs w:val="20"/>
                <w:lang w:val="en-PH"/>
              </w:rPr>
            </w:pPr>
            <w:r w:rsidRPr="00E221EA">
              <w:rPr>
                <w:rFonts w:cs="Calibri"/>
                <w:b/>
                <w:bCs/>
                <w:color w:val="000000"/>
                <w:sz w:val="20"/>
                <w:szCs w:val="20"/>
                <w:lang w:val="en-PH"/>
              </w:rPr>
              <w:t xml:space="preserve">Technical Compliance </w:t>
            </w:r>
          </w:p>
          <w:p w:rsidR="00E221EA" w:rsidRPr="00E221EA" w:rsidRDefault="00E221EA" w:rsidP="00E221EA">
            <w:pPr>
              <w:rPr>
                <w:rFonts w:cs="Calibri"/>
                <w:sz w:val="20"/>
                <w:szCs w:val="20"/>
              </w:rPr>
            </w:pPr>
            <w:r w:rsidRPr="00E221EA">
              <w:rPr>
                <w:rFonts w:eastAsia="Times New Roman" w:cs="Calibri"/>
                <w:b/>
                <w:bCs/>
                <w:kern w:val="28"/>
                <w:sz w:val="20"/>
                <w:szCs w:val="20"/>
              </w:rPr>
              <w:t xml:space="preserve">Please provide details /description of offered feature) </w:t>
            </w:r>
          </w:p>
        </w:tc>
      </w:tr>
      <w:tr w:rsidR="00E221EA" w:rsidRPr="00E221EA" w:rsidTr="00CD63E2">
        <w:trPr>
          <w:trHeight w:val="227"/>
        </w:trPr>
        <w:tc>
          <w:tcPr>
            <w:tcW w:w="397" w:type="dxa"/>
            <w:vMerge w:val="restart"/>
            <w:shd w:val="clear" w:color="auto" w:fill="auto"/>
          </w:tcPr>
          <w:p w:rsidR="00E221EA" w:rsidRPr="00E221EA" w:rsidRDefault="00E221EA" w:rsidP="00E221EA">
            <w:pPr>
              <w:rPr>
                <w:rFonts w:cs="Calibri"/>
                <w:b/>
                <w:sz w:val="20"/>
                <w:szCs w:val="20"/>
              </w:rPr>
            </w:pPr>
            <w:r w:rsidRPr="00E221EA">
              <w:rPr>
                <w:rFonts w:cs="Calibri"/>
                <w:b/>
                <w:sz w:val="20"/>
                <w:szCs w:val="20"/>
              </w:rPr>
              <w:t>1</w:t>
            </w:r>
          </w:p>
        </w:tc>
        <w:tc>
          <w:tcPr>
            <w:tcW w:w="5552" w:type="dxa"/>
            <w:gridSpan w:val="2"/>
            <w:shd w:val="clear" w:color="auto" w:fill="BDD6EE"/>
          </w:tcPr>
          <w:p w:rsidR="00E221EA" w:rsidRPr="00E221EA" w:rsidRDefault="00E221EA" w:rsidP="00E221EA">
            <w:pPr>
              <w:rPr>
                <w:rFonts w:cs="Calibri"/>
                <w:b/>
                <w:sz w:val="20"/>
                <w:szCs w:val="20"/>
              </w:rPr>
            </w:pPr>
            <w:r w:rsidRPr="00E221EA">
              <w:rPr>
                <w:rFonts w:cs="Calibri"/>
                <w:b/>
                <w:bCs/>
                <w:sz w:val="20"/>
                <w:szCs w:val="20"/>
              </w:rPr>
              <w:t>Waste Disposal Truck</w:t>
            </w:r>
          </w:p>
        </w:tc>
        <w:tc>
          <w:tcPr>
            <w:tcW w:w="709" w:type="dxa"/>
            <w:shd w:val="clear" w:color="auto" w:fill="BDD6EE"/>
          </w:tcPr>
          <w:p w:rsidR="00E221EA" w:rsidRPr="00E221EA" w:rsidRDefault="00E221EA" w:rsidP="00E221EA">
            <w:pPr>
              <w:rPr>
                <w:rFonts w:cs="Calibri"/>
                <w:b/>
                <w:sz w:val="20"/>
                <w:szCs w:val="20"/>
              </w:rPr>
            </w:pPr>
          </w:p>
        </w:tc>
        <w:tc>
          <w:tcPr>
            <w:tcW w:w="708" w:type="dxa"/>
            <w:shd w:val="clear" w:color="auto" w:fill="BDD6EE"/>
          </w:tcPr>
          <w:p w:rsidR="00E221EA" w:rsidRPr="00E221EA" w:rsidRDefault="00E221EA" w:rsidP="00E221EA">
            <w:pPr>
              <w:rPr>
                <w:rFonts w:cs="Calibri"/>
                <w:b/>
                <w:sz w:val="20"/>
                <w:szCs w:val="20"/>
              </w:rPr>
            </w:pPr>
          </w:p>
        </w:tc>
        <w:tc>
          <w:tcPr>
            <w:tcW w:w="2830" w:type="dxa"/>
            <w:shd w:val="clear" w:color="auto" w:fill="BDD6EE"/>
          </w:tcPr>
          <w:p w:rsidR="00E221EA" w:rsidRPr="00E221EA" w:rsidRDefault="00E221EA" w:rsidP="00E221EA">
            <w:pPr>
              <w:rPr>
                <w:rFonts w:cs="Calibri"/>
                <w:b/>
                <w:sz w:val="20"/>
                <w:szCs w:val="20"/>
              </w:rPr>
            </w:pPr>
          </w:p>
        </w:tc>
      </w:tr>
      <w:tr w:rsidR="00E221EA" w:rsidRPr="00E221EA" w:rsidTr="00CD63E2">
        <w:trPr>
          <w:trHeight w:val="227"/>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Condition</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Brand New, year of production 2016 or later</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86"/>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Dimensions (± 5%)</w:t>
            </w:r>
          </w:p>
        </w:tc>
        <w:tc>
          <w:tcPr>
            <w:tcW w:w="3260" w:type="dxa"/>
          </w:tcPr>
          <w:p w:rsidR="00E221EA" w:rsidRPr="00E221EA" w:rsidRDefault="00E221EA" w:rsidP="00E221EA">
            <w:pPr>
              <w:widowControl w:val="0"/>
              <w:overflowPunct w:val="0"/>
              <w:adjustRightInd w:val="0"/>
              <w:rPr>
                <w:rFonts w:eastAsia="Times New Roman" w:cs="Calibri"/>
                <w:color w:val="000000"/>
                <w:kern w:val="28"/>
                <w:sz w:val="20"/>
                <w:szCs w:val="20"/>
                <w:lang w:val="en-US"/>
              </w:rPr>
            </w:pPr>
            <w:r w:rsidRPr="00E221EA">
              <w:rPr>
                <w:rFonts w:eastAsia="Times New Roman" w:cs="Calibri"/>
                <w:color w:val="000000"/>
                <w:kern w:val="28"/>
                <w:sz w:val="20"/>
                <w:szCs w:val="20"/>
                <w:lang w:val="en-US"/>
              </w:rPr>
              <w:t>Length, mm: max. 7500</w:t>
            </w:r>
          </w:p>
          <w:p w:rsidR="00E221EA" w:rsidRPr="00E221EA" w:rsidRDefault="00E221EA" w:rsidP="00E221EA">
            <w:pPr>
              <w:widowControl w:val="0"/>
              <w:overflowPunct w:val="0"/>
              <w:adjustRightInd w:val="0"/>
              <w:rPr>
                <w:rFonts w:eastAsia="Times New Roman" w:cs="Calibri"/>
                <w:color w:val="000000"/>
                <w:kern w:val="28"/>
                <w:sz w:val="20"/>
                <w:szCs w:val="20"/>
                <w:lang w:val="en-US"/>
              </w:rPr>
            </w:pPr>
            <w:r w:rsidRPr="00E221EA">
              <w:rPr>
                <w:rFonts w:eastAsia="Times New Roman" w:cs="Calibri"/>
                <w:color w:val="000000"/>
                <w:kern w:val="28"/>
                <w:sz w:val="20"/>
                <w:szCs w:val="20"/>
                <w:lang w:val="en-US"/>
              </w:rPr>
              <w:t>Width, mm: max. 2600</w:t>
            </w:r>
          </w:p>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Height, mm: max. 3500</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94"/>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Total vehicle weight, kg (± 5%)</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max. 13</w:t>
            </w:r>
            <w:r w:rsidRPr="00E221EA">
              <w:rPr>
                <w:rFonts w:eastAsia="Times New Roman" w:cs="Calibri"/>
                <w:color w:val="000000"/>
                <w:kern w:val="28"/>
                <w:sz w:val="20"/>
                <w:szCs w:val="20"/>
                <w:lang w:val="ru-RU"/>
              </w:rPr>
              <w:t>5</w:t>
            </w:r>
            <w:r w:rsidRPr="00E221EA">
              <w:rPr>
                <w:rFonts w:eastAsia="Times New Roman" w:cs="Calibri"/>
                <w:color w:val="000000"/>
                <w:kern w:val="28"/>
                <w:sz w:val="20"/>
                <w:szCs w:val="20"/>
                <w:lang w:val="en-US"/>
              </w:rPr>
              <w:t>00</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Fuel</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Diesel</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Engine Horsepower HP, (± 5%)</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min. 155</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European emission standards</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 xml:space="preserve">Min. “Euro 3”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Steering</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Steering mechanism with the hydraulic booster</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Standard equipment</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Spare wheel. First aid kit. Emergency triangle and lantern, lifting jack. The bracket for the installation of fire extinguishers. Set of tools.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198"/>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kern w:val="28"/>
                <w:sz w:val="20"/>
                <w:szCs w:val="20"/>
                <w:lang w:val="en-US"/>
              </w:rPr>
              <w:t>Warranty</w:t>
            </w:r>
          </w:p>
        </w:tc>
        <w:tc>
          <w:tcPr>
            <w:tcW w:w="3260" w:type="dxa"/>
          </w:tcPr>
          <w:p w:rsidR="00E221EA" w:rsidRPr="00E221EA" w:rsidRDefault="00E221EA" w:rsidP="00E221EA">
            <w:pPr>
              <w:rPr>
                <w:rFonts w:cs="Calibri"/>
                <w:sz w:val="18"/>
                <w:szCs w:val="18"/>
              </w:rPr>
            </w:pPr>
            <w:r w:rsidRPr="00E221EA">
              <w:rPr>
                <w:rFonts w:eastAsia="Times New Roman"/>
                <w:kern w:val="28"/>
                <w:sz w:val="18"/>
                <w:szCs w:val="18"/>
                <w:lang w:val="en-US"/>
              </w:rPr>
              <w:t>12 months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E221EA">
        <w:tc>
          <w:tcPr>
            <w:tcW w:w="397" w:type="dxa"/>
            <w:vMerge/>
            <w:shd w:val="clear" w:color="auto" w:fill="auto"/>
          </w:tcPr>
          <w:p w:rsidR="00E221EA" w:rsidRPr="00E221EA" w:rsidRDefault="00E221EA" w:rsidP="00E221EA">
            <w:pPr>
              <w:rPr>
                <w:rFonts w:cs="Calibri"/>
                <w:sz w:val="20"/>
                <w:szCs w:val="20"/>
              </w:rPr>
            </w:pPr>
          </w:p>
        </w:tc>
        <w:tc>
          <w:tcPr>
            <w:tcW w:w="5552" w:type="dxa"/>
            <w:gridSpan w:val="2"/>
            <w:shd w:val="clear" w:color="auto" w:fill="B8CCE4"/>
          </w:tcPr>
          <w:p w:rsidR="00E221EA" w:rsidRPr="00E221EA" w:rsidRDefault="00E221EA" w:rsidP="00E221EA">
            <w:pPr>
              <w:rPr>
                <w:rFonts w:cs="Calibri"/>
                <w:sz w:val="20"/>
                <w:szCs w:val="20"/>
              </w:rPr>
            </w:pPr>
            <w:r w:rsidRPr="00E221EA">
              <w:rPr>
                <w:rFonts w:cs="Calibri"/>
                <w:sz w:val="20"/>
                <w:szCs w:val="20"/>
              </w:rPr>
              <w:t>Technical specifications of the waste container</w:t>
            </w:r>
          </w:p>
        </w:tc>
        <w:tc>
          <w:tcPr>
            <w:tcW w:w="709" w:type="dxa"/>
            <w:shd w:val="clear" w:color="auto" w:fill="B8CCE4"/>
          </w:tcPr>
          <w:p w:rsidR="00E221EA" w:rsidRPr="00E221EA" w:rsidRDefault="00E221EA" w:rsidP="00E221EA">
            <w:pPr>
              <w:rPr>
                <w:rFonts w:cs="Calibri"/>
                <w:sz w:val="20"/>
                <w:szCs w:val="20"/>
              </w:rPr>
            </w:pPr>
          </w:p>
        </w:tc>
        <w:tc>
          <w:tcPr>
            <w:tcW w:w="708" w:type="dxa"/>
            <w:shd w:val="clear" w:color="auto" w:fill="B8CCE4"/>
          </w:tcPr>
          <w:p w:rsidR="00E221EA" w:rsidRPr="00E221EA" w:rsidRDefault="00E221EA" w:rsidP="00E221EA">
            <w:pPr>
              <w:rPr>
                <w:rFonts w:cs="Calibri"/>
                <w:sz w:val="20"/>
                <w:szCs w:val="20"/>
              </w:rPr>
            </w:pPr>
          </w:p>
        </w:tc>
        <w:tc>
          <w:tcPr>
            <w:tcW w:w="2830" w:type="dxa"/>
            <w:shd w:val="clear" w:color="auto" w:fill="B8CCE4"/>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 xml:space="preserve">Loading type </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 xml:space="preserve">Back loading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Capacity of load container, m</w:t>
            </w:r>
            <w:r w:rsidRPr="00E221EA">
              <w:rPr>
                <w:rFonts w:eastAsia="Times New Roman" w:cs="Calibri"/>
                <w:b/>
                <w:color w:val="000000"/>
                <w:kern w:val="28"/>
                <w:sz w:val="20"/>
                <w:szCs w:val="20"/>
                <w:vertAlign w:val="superscript"/>
                <w:lang w:val="en-US"/>
              </w:rPr>
              <w:t>3</w:t>
            </w:r>
            <w:r w:rsidRPr="00E221EA">
              <w:rPr>
                <w:rFonts w:eastAsia="Times New Roman" w:cs="Calibri"/>
                <w:color w:val="000000"/>
                <w:kern w:val="28"/>
                <w:sz w:val="20"/>
                <w:szCs w:val="20"/>
                <w:lang w:val="en-US"/>
              </w:rPr>
              <w:t>, (± 10%)</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10</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Mass of loaded waste, kg</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 xml:space="preserve">min. 4000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185"/>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widowControl w:val="0"/>
              <w:overflowPunct w:val="0"/>
              <w:adjustRightInd w:val="0"/>
              <w:rPr>
                <w:rFonts w:cs="Calibri"/>
                <w:sz w:val="20"/>
                <w:szCs w:val="20"/>
              </w:rPr>
            </w:pPr>
            <w:r w:rsidRPr="00E221EA">
              <w:rPr>
                <w:rFonts w:eastAsia="Times New Roman" w:cs="Calibri"/>
                <w:color w:val="000000"/>
                <w:kern w:val="28"/>
                <w:sz w:val="20"/>
                <w:szCs w:val="20"/>
                <w:lang w:val="en-US"/>
              </w:rPr>
              <w:t>Types of loadable dustbins, liters (euro-standards)</w:t>
            </w:r>
          </w:p>
        </w:tc>
        <w:tc>
          <w:tcPr>
            <w:tcW w:w="3260" w:type="dxa"/>
          </w:tcPr>
          <w:p w:rsidR="00E221EA" w:rsidRPr="00E221EA" w:rsidRDefault="00E221EA" w:rsidP="00E221EA">
            <w:pPr>
              <w:widowControl w:val="0"/>
              <w:overflowPunct w:val="0"/>
              <w:adjustRightInd w:val="0"/>
              <w:rPr>
                <w:rFonts w:eastAsia="Times New Roman" w:cs="Calibri"/>
                <w:color w:val="000000"/>
                <w:kern w:val="28"/>
                <w:sz w:val="20"/>
                <w:szCs w:val="20"/>
                <w:lang w:val="en-US"/>
              </w:rPr>
            </w:pPr>
            <w:r w:rsidRPr="00E221EA">
              <w:rPr>
                <w:rFonts w:eastAsia="Times New Roman" w:cs="Calibri"/>
                <w:color w:val="000000"/>
                <w:kern w:val="28"/>
                <w:sz w:val="20"/>
                <w:szCs w:val="20"/>
                <w:lang w:val="en-US"/>
              </w:rPr>
              <w:t>Small dustbins – minimum 120 litters;</w:t>
            </w:r>
          </w:p>
          <w:p w:rsidR="00E221EA" w:rsidRPr="00E221EA" w:rsidRDefault="00E221EA" w:rsidP="00E221EA">
            <w:pPr>
              <w:widowControl w:val="0"/>
              <w:overflowPunct w:val="0"/>
              <w:adjustRightInd w:val="0"/>
              <w:rPr>
                <w:rFonts w:cs="Calibri"/>
                <w:sz w:val="18"/>
                <w:szCs w:val="18"/>
              </w:rPr>
            </w:pPr>
            <w:r w:rsidRPr="00E221EA">
              <w:rPr>
                <w:rFonts w:eastAsia="Times New Roman" w:cs="Calibri"/>
                <w:color w:val="000000"/>
                <w:kern w:val="28"/>
                <w:sz w:val="20"/>
                <w:szCs w:val="20"/>
                <w:lang w:val="en-US"/>
              </w:rPr>
              <w:t>Big dustbins - minimum 750 litters;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04"/>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Additional options</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Footboards and handles for operators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bl>
    <w:p w:rsidR="00E221EA" w:rsidRPr="00E221EA" w:rsidRDefault="00E221EA" w:rsidP="00E221EA">
      <w:pPr>
        <w:widowControl w:val="0"/>
        <w:overflowPunct w:val="0"/>
        <w:adjustRightInd w:val="0"/>
        <w:spacing w:after="0" w:line="240" w:lineRule="auto"/>
        <w:rPr>
          <w:rFonts w:ascii="Times New Roman" w:eastAsia="Times New Roman" w:hAnsi="Times New Roman" w:cs="Times New Roman"/>
          <w:kern w:val="28"/>
          <w:sz w:val="24"/>
          <w:szCs w:val="24"/>
          <w:lang w:val="en-US"/>
        </w:rPr>
      </w:pPr>
    </w:p>
    <w:p w:rsidR="00E221EA" w:rsidRPr="00E221EA" w:rsidRDefault="00E221EA" w:rsidP="00E221EA">
      <w:pPr>
        <w:widowControl w:val="0"/>
        <w:shd w:val="clear" w:color="auto" w:fill="FBD4B4"/>
        <w:overflowPunct w:val="0"/>
        <w:adjustRightInd w:val="0"/>
        <w:spacing w:after="0" w:line="240" w:lineRule="auto"/>
        <w:rPr>
          <w:rFonts w:ascii="Myriad Pro" w:eastAsia="Times New Roman" w:hAnsi="Myriad Pro" w:cs="Times New Roman"/>
          <w:b/>
          <w:kern w:val="28"/>
          <w:sz w:val="24"/>
          <w:szCs w:val="24"/>
          <w:lang w:val="en-US"/>
        </w:rPr>
      </w:pPr>
      <w:r w:rsidRPr="00E221EA">
        <w:rPr>
          <w:rFonts w:ascii="Myriad Pro" w:eastAsia="Times New Roman" w:hAnsi="Myriad Pro" w:cs="Times New Roman"/>
          <w:b/>
          <w:kern w:val="28"/>
          <w:sz w:val="24"/>
          <w:szCs w:val="24"/>
          <w:lang w:val="en-US"/>
        </w:rPr>
        <w:t>LOT #3</w:t>
      </w:r>
    </w:p>
    <w:tbl>
      <w:tblPr>
        <w:tblStyle w:val="1"/>
        <w:tblW w:w="0" w:type="auto"/>
        <w:tblLook w:val="04A0" w:firstRow="1" w:lastRow="0" w:firstColumn="1" w:lastColumn="0" w:noHBand="0" w:noVBand="1"/>
      </w:tblPr>
      <w:tblGrid>
        <w:gridCol w:w="378"/>
        <w:gridCol w:w="2044"/>
        <w:gridCol w:w="2821"/>
        <w:gridCol w:w="661"/>
        <w:gridCol w:w="650"/>
        <w:gridCol w:w="2462"/>
      </w:tblGrid>
      <w:tr w:rsidR="00E221EA" w:rsidRPr="00E221EA" w:rsidTr="00CD63E2">
        <w:tc>
          <w:tcPr>
            <w:tcW w:w="397" w:type="dxa"/>
            <w:shd w:val="clear" w:color="auto" w:fill="D0CECE"/>
          </w:tcPr>
          <w:p w:rsidR="00E221EA" w:rsidRPr="00E221EA" w:rsidRDefault="00E221EA" w:rsidP="00E221EA">
            <w:pPr>
              <w:autoSpaceDE w:val="0"/>
              <w:autoSpaceDN w:val="0"/>
              <w:adjustRightInd w:val="0"/>
              <w:rPr>
                <w:rFonts w:cs="Calibri"/>
                <w:b/>
                <w:bCs/>
                <w:color w:val="000000"/>
                <w:sz w:val="20"/>
                <w:szCs w:val="20"/>
                <w:lang w:val="en-PH"/>
              </w:rPr>
            </w:pPr>
          </w:p>
        </w:tc>
        <w:tc>
          <w:tcPr>
            <w:tcW w:w="2292" w:type="dxa"/>
            <w:shd w:val="clear" w:color="auto" w:fill="D0CECE"/>
            <w:vAlign w:val="center"/>
          </w:tcPr>
          <w:p w:rsidR="00E221EA" w:rsidRPr="00E221EA" w:rsidRDefault="00E221EA" w:rsidP="00E221EA">
            <w:pPr>
              <w:autoSpaceDE w:val="0"/>
              <w:autoSpaceDN w:val="0"/>
              <w:adjustRightInd w:val="0"/>
              <w:rPr>
                <w:rFonts w:cs="Calibri"/>
                <w:color w:val="000000"/>
                <w:sz w:val="20"/>
                <w:szCs w:val="20"/>
                <w:lang w:val="en-PH"/>
              </w:rPr>
            </w:pPr>
            <w:r w:rsidRPr="00E221EA">
              <w:rPr>
                <w:rFonts w:cs="Calibri"/>
                <w:b/>
                <w:bCs/>
                <w:color w:val="000000"/>
                <w:sz w:val="20"/>
                <w:szCs w:val="20"/>
                <w:lang w:val="en-US"/>
              </w:rPr>
              <w:t>Item Description</w:t>
            </w:r>
          </w:p>
        </w:tc>
        <w:tc>
          <w:tcPr>
            <w:tcW w:w="3260" w:type="dxa"/>
            <w:shd w:val="clear" w:color="auto" w:fill="D0CECE"/>
            <w:vAlign w:val="center"/>
          </w:tcPr>
          <w:p w:rsidR="00E221EA" w:rsidRPr="00E221EA" w:rsidRDefault="00E221EA" w:rsidP="00E221EA">
            <w:pPr>
              <w:rPr>
                <w:rFonts w:cs="Calibri"/>
                <w:b/>
                <w:sz w:val="20"/>
                <w:szCs w:val="20"/>
              </w:rPr>
            </w:pPr>
            <w:r w:rsidRPr="00E221EA">
              <w:rPr>
                <w:rFonts w:cs="Calibri"/>
                <w:b/>
                <w:sz w:val="20"/>
                <w:szCs w:val="20"/>
                <w:lang w:val="en-US"/>
              </w:rPr>
              <w:t>Specifications</w:t>
            </w:r>
          </w:p>
        </w:tc>
        <w:tc>
          <w:tcPr>
            <w:tcW w:w="709" w:type="dxa"/>
            <w:shd w:val="clear" w:color="auto" w:fill="D0CECE"/>
          </w:tcPr>
          <w:p w:rsidR="00E221EA" w:rsidRPr="00E221EA" w:rsidRDefault="00E221EA" w:rsidP="00E221EA">
            <w:pPr>
              <w:autoSpaceDE w:val="0"/>
              <w:autoSpaceDN w:val="0"/>
              <w:adjustRightInd w:val="0"/>
              <w:rPr>
                <w:rFonts w:cs="Calibri"/>
                <w:b/>
                <w:bCs/>
                <w:color w:val="000000"/>
                <w:sz w:val="20"/>
                <w:szCs w:val="20"/>
                <w:lang w:val="en-US"/>
              </w:rPr>
            </w:pPr>
            <w:r w:rsidRPr="00E221EA">
              <w:rPr>
                <w:rFonts w:cs="Calibri"/>
                <w:b/>
                <w:bCs/>
                <w:color w:val="000000"/>
                <w:sz w:val="20"/>
                <w:szCs w:val="20"/>
                <w:lang w:val="en-US"/>
              </w:rPr>
              <w:t>√</w:t>
            </w:r>
          </w:p>
          <w:p w:rsidR="00E221EA" w:rsidRPr="00E221EA" w:rsidRDefault="00E221EA" w:rsidP="00E221EA">
            <w:pPr>
              <w:autoSpaceDE w:val="0"/>
              <w:autoSpaceDN w:val="0"/>
              <w:adjustRightInd w:val="0"/>
              <w:rPr>
                <w:rFonts w:cs="Calibri"/>
                <w:b/>
                <w:bCs/>
                <w:color w:val="000000"/>
                <w:sz w:val="20"/>
                <w:szCs w:val="20"/>
                <w:lang w:val="en-PH"/>
              </w:rPr>
            </w:pPr>
            <w:r w:rsidRPr="00E221EA">
              <w:rPr>
                <w:rFonts w:cs="Calibri"/>
                <w:b/>
                <w:bCs/>
                <w:color w:val="000000"/>
                <w:sz w:val="20"/>
                <w:szCs w:val="20"/>
                <w:lang w:val="en-PH"/>
              </w:rPr>
              <w:t>Yes</w:t>
            </w:r>
          </w:p>
        </w:tc>
        <w:tc>
          <w:tcPr>
            <w:tcW w:w="708" w:type="dxa"/>
            <w:shd w:val="clear" w:color="auto" w:fill="D0CECE"/>
          </w:tcPr>
          <w:p w:rsidR="00E221EA" w:rsidRPr="00E221EA" w:rsidRDefault="00E221EA" w:rsidP="00E221EA">
            <w:pPr>
              <w:autoSpaceDE w:val="0"/>
              <w:autoSpaceDN w:val="0"/>
              <w:adjustRightInd w:val="0"/>
              <w:rPr>
                <w:rFonts w:cs="Calibri"/>
                <w:b/>
                <w:bCs/>
                <w:color w:val="000000"/>
                <w:sz w:val="20"/>
                <w:szCs w:val="20"/>
                <w:lang w:val="en-US"/>
              </w:rPr>
            </w:pPr>
            <w:r w:rsidRPr="00E221EA">
              <w:rPr>
                <w:rFonts w:cs="Calibri"/>
                <w:b/>
                <w:bCs/>
                <w:color w:val="000000"/>
                <w:sz w:val="20"/>
                <w:szCs w:val="20"/>
                <w:lang w:val="en-US"/>
              </w:rPr>
              <w:t>√</w:t>
            </w:r>
          </w:p>
          <w:p w:rsidR="00E221EA" w:rsidRPr="00E221EA" w:rsidRDefault="00E221EA" w:rsidP="00E221EA">
            <w:pPr>
              <w:autoSpaceDE w:val="0"/>
              <w:autoSpaceDN w:val="0"/>
              <w:adjustRightInd w:val="0"/>
              <w:rPr>
                <w:rFonts w:cs="Calibri"/>
                <w:b/>
                <w:bCs/>
                <w:color w:val="000000"/>
                <w:sz w:val="20"/>
                <w:szCs w:val="20"/>
                <w:lang w:val="en-PH"/>
              </w:rPr>
            </w:pPr>
            <w:r w:rsidRPr="00E221EA">
              <w:rPr>
                <w:rFonts w:cs="Calibri"/>
                <w:b/>
                <w:bCs/>
                <w:color w:val="000000"/>
                <w:sz w:val="20"/>
                <w:szCs w:val="20"/>
                <w:lang w:val="en-PH"/>
              </w:rPr>
              <w:t>No</w:t>
            </w:r>
          </w:p>
        </w:tc>
        <w:tc>
          <w:tcPr>
            <w:tcW w:w="2830" w:type="dxa"/>
            <w:shd w:val="clear" w:color="auto" w:fill="D0CECE"/>
          </w:tcPr>
          <w:p w:rsidR="00E221EA" w:rsidRPr="00E221EA" w:rsidRDefault="00E221EA" w:rsidP="00E221EA">
            <w:pPr>
              <w:autoSpaceDE w:val="0"/>
              <w:autoSpaceDN w:val="0"/>
              <w:adjustRightInd w:val="0"/>
              <w:rPr>
                <w:rFonts w:cs="Calibri"/>
                <w:color w:val="000000"/>
                <w:sz w:val="20"/>
                <w:szCs w:val="20"/>
                <w:lang w:val="en-PH"/>
              </w:rPr>
            </w:pPr>
            <w:r w:rsidRPr="00E221EA">
              <w:rPr>
                <w:rFonts w:cs="Calibri"/>
                <w:b/>
                <w:bCs/>
                <w:color w:val="000000"/>
                <w:sz w:val="20"/>
                <w:szCs w:val="20"/>
                <w:lang w:val="en-PH"/>
              </w:rPr>
              <w:t xml:space="preserve">Technical Compliance </w:t>
            </w:r>
          </w:p>
          <w:p w:rsidR="00E221EA" w:rsidRPr="00E221EA" w:rsidRDefault="00E221EA" w:rsidP="00E221EA">
            <w:pPr>
              <w:rPr>
                <w:rFonts w:cs="Calibri"/>
                <w:sz w:val="20"/>
                <w:szCs w:val="20"/>
              </w:rPr>
            </w:pPr>
            <w:r w:rsidRPr="00E221EA">
              <w:rPr>
                <w:rFonts w:eastAsia="Times New Roman" w:cs="Calibri"/>
                <w:b/>
                <w:bCs/>
                <w:kern w:val="28"/>
                <w:sz w:val="20"/>
                <w:szCs w:val="20"/>
              </w:rPr>
              <w:t xml:space="preserve">Please provide details /description of offered feature) </w:t>
            </w:r>
          </w:p>
        </w:tc>
      </w:tr>
      <w:tr w:rsidR="00E221EA" w:rsidRPr="00E221EA" w:rsidTr="00CD63E2">
        <w:trPr>
          <w:trHeight w:val="227"/>
        </w:trPr>
        <w:tc>
          <w:tcPr>
            <w:tcW w:w="397" w:type="dxa"/>
            <w:vMerge w:val="restart"/>
            <w:shd w:val="clear" w:color="auto" w:fill="auto"/>
          </w:tcPr>
          <w:p w:rsidR="00E221EA" w:rsidRPr="00E221EA" w:rsidRDefault="00E221EA" w:rsidP="00E221EA">
            <w:pPr>
              <w:rPr>
                <w:rFonts w:cs="Calibri"/>
                <w:b/>
                <w:sz w:val="20"/>
                <w:szCs w:val="20"/>
              </w:rPr>
            </w:pPr>
            <w:r w:rsidRPr="00E221EA">
              <w:rPr>
                <w:rFonts w:cs="Calibri"/>
                <w:b/>
                <w:sz w:val="20"/>
                <w:szCs w:val="20"/>
              </w:rPr>
              <w:t>1</w:t>
            </w:r>
          </w:p>
        </w:tc>
        <w:tc>
          <w:tcPr>
            <w:tcW w:w="5552" w:type="dxa"/>
            <w:gridSpan w:val="2"/>
            <w:shd w:val="clear" w:color="auto" w:fill="BDD6EE"/>
          </w:tcPr>
          <w:p w:rsidR="00E221EA" w:rsidRPr="00E221EA" w:rsidRDefault="00E221EA" w:rsidP="00E221EA">
            <w:pPr>
              <w:rPr>
                <w:rFonts w:cs="Calibri"/>
                <w:b/>
                <w:sz w:val="20"/>
                <w:szCs w:val="20"/>
              </w:rPr>
            </w:pPr>
            <w:r w:rsidRPr="00E221EA">
              <w:rPr>
                <w:rFonts w:cs="Calibri"/>
                <w:b/>
                <w:bCs/>
                <w:sz w:val="20"/>
                <w:szCs w:val="20"/>
              </w:rPr>
              <w:t>Waste Disposal Truck</w:t>
            </w:r>
          </w:p>
        </w:tc>
        <w:tc>
          <w:tcPr>
            <w:tcW w:w="709" w:type="dxa"/>
            <w:shd w:val="clear" w:color="auto" w:fill="BDD6EE"/>
          </w:tcPr>
          <w:p w:rsidR="00E221EA" w:rsidRPr="00E221EA" w:rsidRDefault="00E221EA" w:rsidP="00E221EA">
            <w:pPr>
              <w:rPr>
                <w:rFonts w:cs="Calibri"/>
                <w:b/>
                <w:sz w:val="20"/>
                <w:szCs w:val="20"/>
              </w:rPr>
            </w:pPr>
          </w:p>
        </w:tc>
        <w:tc>
          <w:tcPr>
            <w:tcW w:w="708" w:type="dxa"/>
            <w:shd w:val="clear" w:color="auto" w:fill="BDD6EE"/>
          </w:tcPr>
          <w:p w:rsidR="00E221EA" w:rsidRPr="00E221EA" w:rsidRDefault="00E221EA" w:rsidP="00E221EA">
            <w:pPr>
              <w:rPr>
                <w:rFonts w:cs="Calibri"/>
                <w:b/>
                <w:sz w:val="20"/>
                <w:szCs w:val="20"/>
              </w:rPr>
            </w:pPr>
          </w:p>
        </w:tc>
        <w:tc>
          <w:tcPr>
            <w:tcW w:w="2830" w:type="dxa"/>
            <w:shd w:val="clear" w:color="auto" w:fill="BDD6EE"/>
          </w:tcPr>
          <w:p w:rsidR="00E221EA" w:rsidRPr="00E221EA" w:rsidRDefault="00E221EA" w:rsidP="00E221EA">
            <w:pPr>
              <w:rPr>
                <w:rFonts w:cs="Calibri"/>
                <w:b/>
                <w:sz w:val="20"/>
                <w:szCs w:val="20"/>
              </w:rPr>
            </w:pPr>
          </w:p>
        </w:tc>
      </w:tr>
      <w:tr w:rsidR="00E221EA" w:rsidRPr="00E221EA" w:rsidTr="00CD63E2">
        <w:trPr>
          <w:trHeight w:val="227"/>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Condition</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Brand New, year of production 2016 or later</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86"/>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Dimensions (± 5%)</w:t>
            </w:r>
          </w:p>
        </w:tc>
        <w:tc>
          <w:tcPr>
            <w:tcW w:w="3260" w:type="dxa"/>
          </w:tcPr>
          <w:p w:rsidR="00E221EA" w:rsidRPr="00E221EA" w:rsidRDefault="00E221EA" w:rsidP="00E221EA">
            <w:pPr>
              <w:widowControl w:val="0"/>
              <w:overflowPunct w:val="0"/>
              <w:adjustRightInd w:val="0"/>
              <w:rPr>
                <w:rFonts w:eastAsia="Times New Roman" w:cs="Calibri"/>
                <w:color w:val="000000"/>
                <w:kern w:val="28"/>
                <w:sz w:val="20"/>
                <w:szCs w:val="20"/>
                <w:lang w:val="en-US"/>
              </w:rPr>
            </w:pPr>
            <w:r w:rsidRPr="00E221EA">
              <w:rPr>
                <w:rFonts w:eastAsia="Times New Roman" w:cs="Calibri"/>
                <w:color w:val="000000"/>
                <w:kern w:val="28"/>
                <w:sz w:val="20"/>
                <w:szCs w:val="20"/>
                <w:lang w:val="en-US"/>
              </w:rPr>
              <w:t>Length, mm: max. 8500</w:t>
            </w:r>
          </w:p>
          <w:p w:rsidR="00E221EA" w:rsidRPr="00E221EA" w:rsidRDefault="00E221EA" w:rsidP="00E221EA">
            <w:pPr>
              <w:widowControl w:val="0"/>
              <w:overflowPunct w:val="0"/>
              <w:adjustRightInd w:val="0"/>
              <w:rPr>
                <w:rFonts w:eastAsia="Times New Roman" w:cs="Calibri"/>
                <w:color w:val="000000"/>
                <w:kern w:val="28"/>
                <w:sz w:val="20"/>
                <w:szCs w:val="20"/>
                <w:lang w:val="en-US"/>
              </w:rPr>
            </w:pPr>
            <w:r w:rsidRPr="00E221EA">
              <w:rPr>
                <w:rFonts w:eastAsia="Times New Roman" w:cs="Calibri"/>
                <w:color w:val="000000"/>
                <w:kern w:val="28"/>
                <w:sz w:val="20"/>
                <w:szCs w:val="20"/>
                <w:lang w:val="en-US"/>
              </w:rPr>
              <w:t>Width, mm: max. 2600</w:t>
            </w:r>
          </w:p>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Height, mm: max. 3800</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94"/>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Total vehicle weight, kg (± 5%)</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max. 19</w:t>
            </w:r>
            <w:r w:rsidRPr="00E221EA">
              <w:rPr>
                <w:rFonts w:eastAsia="Times New Roman" w:cs="Calibri"/>
                <w:color w:val="000000"/>
                <w:kern w:val="28"/>
                <w:sz w:val="20"/>
                <w:szCs w:val="20"/>
                <w:lang w:val="ru-RU"/>
              </w:rPr>
              <w:t>5</w:t>
            </w:r>
            <w:r w:rsidRPr="00E221EA">
              <w:rPr>
                <w:rFonts w:eastAsia="Times New Roman" w:cs="Calibri"/>
                <w:color w:val="000000"/>
                <w:kern w:val="28"/>
                <w:sz w:val="20"/>
                <w:szCs w:val="20"/>
                <w:lang w:val="en-US"/>
              </w:rPr>
              <w:t>00</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Fuel</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Diesel</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Engine Horsepower HP, (± 5%)</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min. 155</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European emission standards</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 xml:space="preserve">Min. “Euro 3”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Steering</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Steering mechanism with the hydraulic booster</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Standard equipment</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Spare wheel. First aid kit. Emergency triangle and lantern, lifting jack. The bracket for the installation of fire extinguishers. Set of tools.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198"/>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Warranty</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12 months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E221EA">
        <w:tc>
          <w:tcPr>
            <w:tcW w:w="397" w:type="dxa"/>
            <w:vMerge/>
            <w:shd w:val="clear" w:color="auto" w:fill="auto"/>
          </w:tcPr>
          <w:p w:rsidR="00E221EA" w:rsidRPr="00E221EA" w:rsidRDefault="00E221EA" w:rsidP="00E221EA">
            <w:pPr>
              <w:rPr>
                <w:rFonts w:cs="Calibri"/>
                <w:sz w:val="20"/>
                <w:szCs w:val="20"/>
              </w:rPr>
            </w:pPr>
          </w:p>
        </w:tc>
        <w:tc>
          <w:tcPr>
            <w:tcW w:w="5552" w:type="dxa"/>
            <w:gridSpan w:val="2"/>
            <w:shd w:val="clear" w:color="auto" w:fill="B8CCE4"/>
          </w:tcPr>
          <w:p w:rsidR="00E221EA" w:rsidRPr="00E221EA" w:rsidRDefault="00E221EA" w:rsidP="00E221EA">
            <w:pPr>
              <w:rPr>
                <w:rFonts w:cs="Calibri"/>
                <w:sz w:val="20"/>
                <w:szCs w:val="20"/>
              </w:rPr>
            </w:pPr>
            <w:r w:rsidRPr="00E221EA">
              <w:rPr>
                <w:rFonts w:cs="Calibri"/>
                <w:sz w:val="20"/>
                <w:szCs w:val="20"/>
              </w:rPr>
              <w:t>Technical specifications of the waste container</w:t>
            </w:r>
          </w:p>
        </w:tc>
        <w:tc>
          <w:tcPr>
            <w:tcW w:w="709" w:type="dxa"/>
            <w:shd w:val="clear" w:color="auto" w:fill="B8CCE4"/>
          </w:tcPr>
          <w:p w:rsidR="00E221EA" w:rsidRPr="00E221EA" w:rsidRDefault="00E221EA" w:rsidP="00E221EA">
            <w:pPr>
              <w:rPr>
                <w:rFonts w:cs="Calibri"/>
                <w:sz w:val="20"/>
                <w:szCs w:val="20"/>
              </w:rPr>
            </w:pPr>
          </w:p>
        </w:tc>
        <w:tc>
          <w:tcPr>
            <w:tcW w:w="708" w:type="dxa"/>
            <w:shd w:val="clear" w:color="auto" w:fill="B8CCE4"/>
          </w:tcPr>
          <w:p w:rsidR="00E221EA" w:rsidRPr="00E221EA" w:rsidRDefault="00E221EA" w:rsidP="00E221EA">
            <w:pPr>
              <w:rPr>
                <w:rFonts w:cs="Calibri"/>
                <w:sz w:val="20"/>
                <w:szCs w:val="20"/>
              </w:rPr>
            </w:pPr>
          </w:p>
        </w:tc>
        <w:tc>
          <w:tcPr>
            <w:tcW w:w="2830" w:type="dxa"/>
            <w:shd w:val="clear" w:color="auto" w:fill="B8CCE4"/>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 xml:space="preserve">Loading type </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 xml:space="preserve">Back loading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Capacity of load container, m</w:t>
            </w:r>
            <w:r w:rsidRPr="00E221EA">
              <w:rPr>
                <w:rFonts w:eastAsia="Times New Roman" w:cs="Calibri"/>
                <w:b/>
                <w:color w:val="000000"/>
                <w:kern w:val="28"/>
                <w:sz w:val="20"/>
                <w:szCs w:val="20"/>
                <w:vertAlign w:val="superscript"/>
                <w:lang w:val="en-US"/>
              </w:rPr>
              <w:t>3</w:t>
            </w:r>
            <w:r w:rsidRPr="00E221EA">
              <w:rPr>
                <w:rFonts w:eastAsia="Times New Roman" w:cs="Calibri"/>
                <w:color w:val="000000"/>
                <w:kern w:val="28"/>
                <w:sz w:val="20"/>
                <w:szCs w:val="20"/>
                <w:lang w:val="en-US"/>
              </w:rPr>
              <w:t>, (± 10%)</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16</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Mass of loaded waste, kg</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 xml:space="preserve">min. 7000 </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185"/>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widowControl w:val="0"/>
              <w:overflowPunct w:val="0"/>
              <w:adjustRightInd w:val="0"/>
              <w:rPr>
                <w:rFonts w:cs="Calibri"/>
                <w:sz w:val="20"/>
                <w:szCs w:val="20"/>
              </w:rPr>
            </w:pPr>
            <w:r w:rsidRPr="00E221EA">
              <w:rPr>
                <w:rFonts w:eastAsia="Times New Roman" w:cs="Calibri"/>
                <w:color w:val="000000"/>
                <w:kern w:val="28"/>
                <w:sz w:val="20"/>
                <w:szCs w:val="20"/>
                <w:lang w:val="en-US"/>
              </w:rPr>
              <w:t>Types of loadable dustbins, liters (euro-standards)</w:t>
            </w:r>
          </w:p>
        </w:tc>
        <w:tc>
          <w:tcPr>
            <w:tcW w:w="3260" w:type="dxa"/>
          </w:tcPr>
          <w:p w:rsidR="00E221EA" w:rsidRPr="00E221EA" w:rsidRDefault="00E221EA" w:rsidP="00E221EA">
            <w:pPr>
              <w:widowControl w:val="0"/>
              <w:overflowPunct w:val="0"/>
              <w:adjustRightInd w:val="0"/>
              <w:rPr>
                <w:rFonts w:eastAsia="Times New Roman" w:cs="Calibri"/>
                <w:color w:val="000000"/>
                <w:kern w:val="28"/>
                <w:sz w:val="20"/>
                <w:szCs w:val="20"/>
                <w:lang w:val="en-US"/>
              </w:rPr>
            </w:pPr>
            <w:r w:rsidRPr="00E221EA">
              <w:rPr>
                <w:rFonts w:eastAsia="Times New Roman" w:cs="Calibri"/>
                <w:color w:val="000000"/>
                <w:kern w:val="28"/>
                <w:sz w:val="20"/>
                <w:szCs w:val="20"/>
                <w:lang w:val="en-US"/>
              </w:rPr>
              <w:t>Small dustbins – minimum 120 litters;</w:t>
            </w:r>
          </w:p>
          <w:p w:rsidR="00E221EA" w:rsidRPr="00E221EA" w:rsidRDefault="00E221EA" w:rsidP="00E221EA">
            <w:pPr>
              <w:widowControl w:val="0"/>
              <w:overflowPunct w:val="0"/>
              <w:adjustRightInd w:val="0"/>
              <w:rPr>
                <w:rFonts w:cs="Calibri"/>
                <w:sz w:val="18"/>
                <w:szCs w:val="18"/>
              </w:rPr>
            </w:pPr>
            <w:r w:rsidRPr="00E221EA">
              <w:rPr>
                <w:rFonts w:eastAsia="Times New Roman" w:cs="Calibri"/>
                <w:color w:val="000000"/>
                <w:kern w:val="28"/>
                <w:sz w:val="20"/>
                <w:szCs w:val="20"/>
                <w:lang w:val="en-US"/>
              </w:rPr>
              <w:t>Big dustbins - minimum 750 litters;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r w:rsidR="00E221EA" w:rsidRPr="00E221EA" w:rsidTr="00CD63E2">
        <w:trPr>
          <w:trHeight w:val="204"/>
        </w:trPr>
        <w:tc>
          <w:tcPr>
            <w:tcW w:w="397" w:type="dxa"/>
            <w:vMerge/>
            <w:shd w:val="clear" w:color="auto" w:fill="auto"/>
          </w:tcPr>
          <w:p w:rsidR="00E221EA" w:rsidRPr="00E221EA" w:rsidRDefault="00E221EA" w:rsidP="00E221EA">
            <w:pPr>
              <w:rPr>
                <w:rFonts w:eastAsia="Times New Roman"/>
                <w:kern w:val="28"/>
                <w:sz w:val="20"/>
                <w:szCs w:val="20"/>
              </w:rPr>
            </w:pPr>
          </w:p>
        </w:tc>
        <w:tc>
          <w:tcPr>
            <w:tcW w:w="2292" w:type="dxa"/>
          </w:tcPr>
          <w:p w:rsidR="00E221EA" w:rsidRPr="00E221EA" w:rsidRDefault="00E221EA" w:rsidP="00E221EA">
            <w:pPr>
              <w:rPr>
                <w:rFonts w:cs="Calibri"/>
                <w:sz w:val="20"/>
                <w:szCs w:val="20"/>
              </w:rPr>
            </w:pPr>
            <w:r w:rsidRPr="00E221EA">
              <w:rPr>
                <w:rFonts w:eastAsia="Times New Roman" w:cs="Calibri"/>
                <w:color w:val="000000"/>
                <w:kern w:val="28"/>
                <w:sz w:val="20"/>
                <w:szCs w:val="20"/>
                <w:lang w:val="en-US"/>
              </w:rPr>
              <w:t>Additional options</w:t>
            </w:r>
          </w:p>
        </w:tc>
        <w:tc>
          <w:tcPr>
            <w:tcW w:w="3260" w:type="dxa"/>
          </w:tcPr>
          <w:p w:rsidR="00E221EA" w:rsidRPr="00E221EA" w:rsidRDefault="00E221EA" w:rsidP="00E221EA">
            <w:pPr>
              <w:rPr>
                <w:rFonts w:cs="Calibri"/>
                <w:sz w:val="18"/>
                <w:szCs w:val="18"/>
              </w:rPr>
            </w:pPr>
            <w:r w:rsidRPr="00E221EA">
              <w:rPr>
                <w:rFonts w:eastAsia="Times New Roman" w:cs="Calibri"/>
                <w:color w:val="000000"/>
                <w:kern w:val="28"/>
                <w:sz w:val="20"/>
                <w:szCs w:val="20"/>
                <w:lang w:val="en-US"/>
              </w:rPr>
              <w:t>Footboards and handles for operators</w:t>
            </w:r>
          </w:p>
        </w:tc>
        <w:tc>
          <w:tcPr>
            <w:tcW w:w="709" w:type="dxa"/>
          </w:tcPr>
          <w:p w:rsidR="00E221EA" w:rsidRPr="00E221EA" w:rsidRDefault="00E221EA" w:rsidP="00E221EA">
            <w:pPr>
              <w:rPr>
                <w:rFonts w:cs="Calibri"/>
                <w:sz w:val="20"/>
                <w:szCs w:val="20"/>
              </w:rPr>
            </w:pPr>
          </w:p>
        </w:tc>
        <w:tc>
          <w:tcPr>
            <w:tcW w:w="708" w:type="dxa"/>
          </w:tcPr>
          <w:p w:rsidR="00E221EA" w:rsidRPr="00E221EA" w:rsidRDefault="00E221EA" w:rsidP="00E221EA">
            <w:pPr>
              <w:rPr>
                <w:rFonts w:cs="Calibri"/>
                <w:sz w:val="20"/>
                <w:szCs w:val="20"/>
              </w:rPr>
            </w:pPr>
          </w:p>
        </w:tc>
        <w:tc>
          <w:tcPr>
            <w:tcW w:w="2830" w:type="dxa"/>
          </w:tcPr>
          <w:p w:rsidR="00E221EA" w:rsidRPr="00E221EA" w:rsidRDefault="00E221EA" w:rsidP="00E221EA">
            <w:pPr>
              <w:rPr>
                <w:rFonts w:cs="Calibri"/>
                <w:sz w:val="20"/>
                <w:szCs w:val="20"/>
              </w:rPr>
            </w:pPr>
          </w:p>
        </w:tc>
      </w:tr>
    </w:tbl>
    <w:p w:rsidR="00E221EA" w:rsidRPr="00E221EA" w:rsidRDefault="00E221EA" w:rsidP="00E221EA">
      <w:pPr>
        <w:widowControl w:val="0"/>
        <w:overflowPunct w:val="0"/>
        <w:adjustRightInd w:val="0"/>
        <w:spacing w:after="0" w:line="240" w:lineRule="auto"/>
        <w:rPr>
          <w:rFonts w:ascii="Times New Roman" w:eastAsia="Times New Roman" w:hAnsi="Times New Roman" w:cs="Times New Roman"/>
          <w:kern w:val="28"/>
          <w:sz w:val="24"/>
          <w:szCs w:val="24"/>
          <w:lang w:val="en-US"/>
        </w:rPr>
      </w:pPr>
    </w:p>
    <w:p w:rsidR="00E221EA" w:rsidRPr="00E221EA" w:rsidRDefault="00E221EA" w:rsidP="00E221EA">
      <w:pPr>
        <w:widowControl w:val="0"/>
        <w:overflowPunct w:val="0"/>
        <w:adjustRightInd w:val="0"/>
        <w:spacing w:after="0" w:line="240" w:lineRule="auto"/>
        <w:rPr>
          <w:rFonts w:ascii="Times New Roman" w:eastAsia="Times New Roman" w:hAnsi="Times New Roman" w:cs="Times New Roman"/>
          <w:kern w:val="28"/>
          <w:sz w:val="24"/>
          <w:szCs w:val="24"/>
          <w:lang w:val="en-US"/>
        </w:rPr>
      </w:pPr>
    </w:p>
    <w:p w:rsidR="00E221EA" w:rsidRPr="00E221EA" w:rsidRDefault="00E221EA" w:rsidP="00E221EA">
      <w:pPr>
        <w:pBdr>
          <w:bottom w:val="single" w:sz="4" w:space="1" w:color="auto"/>
        </w:pBdr>
        <w:spacing w:after="240" w:line="240" w:lineRule="auto"/>
        <w:rPr>
          <w:rFonts w:ascii="Calibri" w:eastAsia="Times New Roman" w:hAnsi="Calibri" w:cs="Calibri"/>
          <w:b/>
          <w:color w:val="000000"/>
          <w:lang w:val="en-US"/>
        </w:rPr>
      </w:pPr>
    </w:p>
    <w:p w:rsidR="00090605" w:rsidRPr="00E221EA" w:rsidRDefault="00090605" w:rsidP="00E221EA">
      <w:pPr>
        <w:spacing w:after="0" w:line="240" w:lineRule="auto"/>
        <w:rPr>
          <w:rFonts w:ascii="Calibri" w:eastAsia="Times New Roman" w:hAnsi="Calibri" w:cs="Calibri"/>
          <w:b/>
          <w:color w:val="000000"/>
          <w:lang w:val="en-US"/>
        </w:rPr>
      </w:pPr>
    </w:p>
    <w:sectPr w:rsidR="00090605" w:rsidRPr="00E22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A"/>
    <w:rsid w:val="000570A9"/>
    <w:rsid w:val="00065D56"/>
    <w:rsid w:val="00083A38"/>
    <w:rsid w:val="00090605"/>
    <w:rsid w:val="00097DC6"/>
    <w:rsid w:val="000A1E80"/>
    <w:rsid w:val="000A3E90"/>
    <w:rsid w:val="000A6F54"/>
    <w:rsid w:val="00106655"/>
    <w:rsid w:val="00111F06"/>
    <w:rsid w:val="001154DE"/>
    <w:rsid w:val="00133F49"/>
    <w:rsid w:val="00147E13"/>
    <w:rsid w:val="00152E5C"/>
    <w:rsid w:val="001861CC"/>
    <w:rsid w:val="001A5185"/>
    <w:rsid w:val="001D67D0"/>
    <w:rsid w:val="001D68D4"/>
    <w:rsid w:val="001E7DAA"/>
    <w:rsid w:val="00207286"/>
    <w:rsid w:val="00216B28"/>
    <w:rsid w:val="00235D44"/>
    <w:rsid w:val="002369CE"/>
    <w:rsid w:val="00243B7F"/>
    <w:rsid w:val="00251D93"/>
    <w:rsid w:val="00264D21"/>
    <w:rsid w:val="002750DE"/>
    <w:rsid w:val="0028184E"/>
    <w:rsid w:val="002836F6"/>
    <w:rsid w:val="002872B7"/>
    <w:rsid w:val="00287B49"/>
    <w:rsid w:val="002B017F"/>
    <w:rsid w:val="002B5AF9"/>
    <w:rsid w:val="002C103A"/>
    <w:rsid w:val="002C103F"/>
    <w:rsid w:val="002C6B28"/>
    <w:rsid w:val="002D591B"/>
    <w:rsid w:val="002E02A8"/>
    <w:rsid w:val="00305024"/>
    <w:rsid w:val="0033640D"/>
    <w:rsid w:val="00340870"/>
    <w:rsid w:val="0034664E"/>
    <w:rsid w:val="00355E36"/>
    <w:rsid w:val="003A1D52"/>
    <w:rsid w:val="003A356B"/>
    <w:rsid w:val="003C12A6"/>
    <w:rsid w:val="003C5EF2"/>
    <w:rsid w:val="003E42F0"/>
    <w:rsid w:val="00407C05"/>
    <w:rsid w:val="00415C98"/>
    <w:rsid w:val="00435AA4"/>
    <w:rsid w:val="00474213"/>
    <w:rsid w:val="00474602"/>
    <w:rsid w:val="0048209A"/>
    <w:rsid w:val="004B34FA"/>
    <w:rsid w:val="004C380E"/>
    <w:rsid w:val="004D4F59"/>
    <w:rsid w:val="004D7FED"/>
    <w:rsid w:val="004E12CE"/>
    <w:rsid w:val="004E286E"/>
    <w:rsid w:val="004E3109"/>
    <w:rsid w:val="004F2391"/>
    <w:rsid w:val="004F52B4"/>
    <w:rsid w:val="00516968"/>
    <w:rsid w:val="00522C66"/>
    <w:rsid w:val="00547872"/>
    <w:rsid w:val="00553309"/>
    <w:rsid w:val="00570712"/>
    <w:rsid w:val="0057213F"/>
    <w:rsid w:val="005812CA"/>
    <w:rsid w:val="00582E64"/>
    <w:rsid w:val="00583F07"/>
    <w:rsid w:val="005A37C0"/>
    <w:rsid w:val="005A6A3B"/>
    <w:rsid w:val="005B5DDD"/>
    <w:rsid w:val="005C457B"/>
    <w:rsid w:val="00604E8B"/>
    <w:rsid w:val="00605A9B"/>
    <w:rsid w:val="0061025A"/>
    <w:rsid w:val="00612637"/>
    <w:rsid w:val="00623CF7"/>
    <w:rsid w:val="00624C70"/>
    <w:rsid w:val="00626389"/>
    <w:rsid w:val="0062672E"/>
    <w:rsid w:val="006268EF"/>
    <w:rsid w:val="006443F9"/>
    <w:rsid w:val="0065225A"/>
    <w:rsid w:val="006716BA"/>
    <w:rsid w:val="0067630B"/>
    <w:rsid w:val="00676431"/>
    <w:rsid w:val="00687E6C"/>
    <w:rsid w:val="0069697B"/>
    <w:rsid w:val="006A4D45"/>
    <w:rsid w:val="006A62A7"/>
    <w:rsid w:val="006A63FB"/>
    <w:rsid w:val="006B76DA"/>
    <w:rsid w:val="006D31F6"/>
    <w:rsid w:val="006E670F"/>
    <w:rsid w:val="006F4617"/>
    <w:rsid w:val="006F57F5"/>
    <w:rsid w:val="00716DED"/>
    <w:rsid w:val="00731779"/>
    <w:rsid w:val="007734EA"/>
    <w:rsid w:val="0077561F"/>
    <w:rsid w:val="00791083"/>
    <w:rsid w:val="007A325A"/>
    <w:rsid w:val="007B0145"/>
    <w:rsid w:val="007B18B8"/>
    <w:rsid w:val="007C7F6F"/>
    <w:rsid w:val="007D1FB1"/>
    <w:rsid w:val="00820183"/>
    <w:rsid w:val="00836EAF"/>
    <w:rsid w:val="008808D6"/>
    <w:rsid w:val="008909A8"/>
    <w:rsid w:val="00893281"/>
    <w:rsid w:val="008966A4"/>
    <w:rsid w:val="008A5B69"/>
    <w:rsid w:val="008E015D"/>
    <w:rsid w:val="008E70D3"/>
    <w:rsid w:val="008F589C"/>
    <w:rsid w:val="00912640"/>
    <w:rsid w:val="00917F62"/>
    <w:rsid w:val="009257F3"/>
    <w:rsid w:val="00926AD6"/>
    <w:rsid w:val="00933F3D"/>
    <w:rsid w:val="00935C39"/>
    <w:rsid w:val="0094189C"/>
    <w:rsid w:val="0096260C"/>
    <w:rsid w:val="00967618"/>
    <w:rsid w:val="00972AB1"/>
    <w:rsid w:val="00973F24"/>
    <w:rsid w:val="00983DDB"/>
    <w:rsid w:val="0099093D"/>
    <w:rsid w:val="0099114C"/>
    <w:rsid w:val="00991211"/>
    <w:rsid w:val="0099496F"/>
    <w:rsid w:val="00994F43"/>
    <w:rsid w:val="009A1EAE"/>
    <w:rsid w:val="009A6E30"/>
    <w:rsid w:val="009B4617"/>
    <w:rsid w:val="009D10E0"/>
    <w:rsid w:val="009D3073"/>
    <w:rsid w:val="009D3082"/>
    <w:rsid w:val="009D48FC"/>
    <w:rsid w:val="009E1B19"/>
    <w:rsid w:val="009E47EB"/>
    <w:rsid w:val="009F141C"/>
    <w:rsid w:val="00A05D18"/>
    <w:rsid w:val="00A102B2"/>
    <w:rsid w:val="00A122D9"/>
    <w:rsid w:val="00A314A5"/>
    <w:rsid w:val="00A3519B"/>
    <w:rsid w:val="00A362CE"/>
    <w:rsid w:val="00A42B9A"/>
    <w:rsid w:val="00A4443B"/>
    <w:rsid w:val="00A475D1"/>
    <w:rsid w:val="00A4786A"/>
    <w:rsid w:val="00A50F19"/>
    <w:rsid w:val="00A70CF1"/>
    <w:rsid w:val="00A75C35"/>
    <w:rsid w:val="00A86350"/>
    <w:rsid w:val="00AA16B5"/>
    <w:rsid w:val="00AA1D64"/>
    <w:rsid w:val="00AA779C"/>
    <w:rsid w:val="00AC5DCC"/>
    <w:rsid w:val="00AD6AF3"/>
    <w:rsid w:val="00AD72C7"/>
    <w:rsid w:val="00AE04C6"/>
    <w:rsid w:val="00AF58BA"/>
    <w:rsid w:val="00B274D8"/>
    <w:rsid w:val="00B34AF8"/>
    <w:rsid w:val="00B35D93"/>
    <w:rsid w:val="00B40955"/>
    <w:rsid w:val="00B53669"/>
    <w:rsid w:val="00B557FF"/>
    <w:rsid w:val="00B5676F"/>
    <w:rsid w:val="00B76890"/>
    <w:rsid w:val="00B81A5A"/>
    <w:rsid w:val="00B942A4"/>
    <w:rsid w:val="00BA14D8"/>
    <w:rsid w:val="00BA7B51"/>
    <w:rsid w:val="00BF4862"/>
    <w:rsid w:val="00BF5CF5"/>
    <w:rsid w:val="00C03162"/>
    <w:rsid w:val="00C06E0E"/>
    <w:rsid w:val="00C24A55"/>
    <w:rsid w:val="00C3501A"/>
    <w:rsid w:val="00C476C0"/>
    <w:rsid w:val="00C51F00"/>
    <w:rsid w:val="00C5330B"/>
    <w:rsid w:val="00C54A31"/>
    <w:rsid w:val="00C54B7F"/>
    <w:rsid w:val="00C655BB"/>
    <w:rsid w:val="00C7273F"/>
    <w:rsid w:val="00C82F92"/>
    <w:rsid w:val="00C842E7"/>
    <w:rsid w:val="00C93C3A"/>
    <w:rsid w:val="00CA3A8D"/>
    <w:rsid w:val="00CA3EFB"/>
    <w:rsid w:val="00CB03E2"/>
    <w:rsid w:val="00CE5EE4"/>
    <w:rsid w:val="00CE7698"/>
    <w:rsid w:val="00CF2FF4"/>
    <w:rsid w:val="00D036AB"/>
    <w:rsid w:val="00D50FDF"/>
    <w:rsid w:val="00D540E6"/>
    <w:rsid w:val="00D60698"/>
    <w:rsid w:val="00D737C0"/>
    <w:rsid w:val="00D77796"/>
    <w:rsid w:val="00D81FDE"/>
    <w:rsid w:val="00D83479"/>
    <w:rsid w:val="00D83A7B"/>
    <w:rsid w:val="00DA25C6"/>
    <w:rsid w:val="00DA43AA"/>
    <w:rsid w:val="00DB040A"/>
    <w:rsid w:val="00DD027D"/>
    <w:rsid w:val="00DD7AF2"/>
    <w:rsid w:val="00DF1798"/>
    <w:rsid w:val="00E0478A"/>
    <w:rsid w:val="00E21581"/>
    <w:rsid w:val="00E221EA"/>
    <w:rsid w:val="00E2418C"/>
    <w:rsid w:val="00E41F2E"/>
    <w:rsid w:val="00E50C70"/>
    <w:rsid w:val="00E560B9"/>
    <w:rsid w:val="00E73298"/>
    <w:rsid w:val="00E7386F"/>
    <w:rsid w:val="00E844B7"/>
    <w:rsid w:val="00E874E3"/>
    <w:rsid w:val="00E900A2"/>
    <w:rsid w:val="00E9401C"/>
    <w:rsid w:val="00EA1711"/>
    <w:rsid w:val="00EA348E"/>
    <w:rsid w:val="00EC24EF"/>
    <w:rsid w:val="00ED0B89"/>
    <w:rsid w:val="00EE0AE7"/>
    <w:rsid w:val="00F0281C"/>
    <w:rsid w:val="00F216F6"/>
    <w:rsid w:val="00F271DB"/>
    <w:rsid w:val="00F31A20"/>
    <w:rsid w:val="00F36BAF"/>
    <w:rsid w:val="00F634E0"/>
    <w:rsid w:val="00F7684D"/>
    <w:rsid w:val="00F8271B"/>
    <w:rsid w:val="00FC5967"/>
    <w:rsid w:val="00FC6C0A"/>
    <w:rsid w:val="00FD0B3D"/>
    <w:rsid w:val="00FD35BD"/>
    <w:rsid w:val="00FF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7887"/>
  <w15:chartTrackingRefBased/>
  <w15:docId w15:val="{98E6D68D-409D-4EDB-8625-88C8C1E1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next w:val="TableGrid"/>
    <w:uiPriority w:val="39"/>
    <w:rsid w:val="00E22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Mazilu</dc:creator>
  <cp:keywords/>
  <dc:description/>
  <cp:lastModifiedBy>Leonid Mazilu</cp:lastModifiedBy>
  <cp:revision>1</cp:revision>
  <dcterms:created xsi:type="dcterms:W3CDTF">2018-02-13T08:26:00Z</dcterms:created>
  <dcterms:modified xsi:type="dcterms:W3CDTF">2018-02-13T08:27:00Z</dcterms:modified>
</cp:coreProperties>
</file>