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09" w:rsidRPr="009819A5" w:rsidRDefault="00F65C09" w:rsidP="00F65C09">
      <w:pPr>
        <w:jc w:val="right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Annex 2</w:t>
      </w:r>
    </w:p>
    <w:p w:rsidR="00F65C09" w:rsidRPr="009819A5" w:rsidRDefault="00F65C09" w:rsidP="00F65C09">
      <w:pPr>
        <w:rPr>
          <w:rFonts w:ascii="Calibri" w:hAnsi="Calibri" w:cs="Calibri"/>
          <w:sz w:val="28"/>
          <w:szCs w:val="28"/>
        </w:rPr>
      </w:pPr>
    </w:p>
    <w:p w:rsidR="00F65C09" w:rsidRPr="009819A5" w:rsidRDefault="00F65C09" w:rsidP="00F65C09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 xml:space="preserve">FORM FOR SUBMITTING </w:t>
      </w:r>
      <w:proofErr w:type="gramStart"/>
      <w:r w:rsidRPr="009819A5">
        <w:rPr>
          <w:rFonts w:ascii="Calibri" w:hAnsi="Calibri" w:cs="Calibri"/>
          <w:b/>
          <w:sz w:val="28"/>
          <w:szCs w:val="28"/>
        </w:rPr>
        <w:t>SUPPLIER’S  QUOTATION</w:t>
      </w:r>
      <w:proofErr w:type="gramEnd"/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:rsidR="00F65C09" w:rsidRPr="00E933A8" w:rsidRDefault="00F65C09" w:rsidP="00F65C09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:rsidR="00F65C09" w:rsidRPr="00E933A8" w:rsidRDefault="00F65C09" w:rsidP="00F65C09">
      <w:pPr>
        <w:pBdr>
          <w:bottom w:val="single" w:sz="12" w:space="1" w:color="auto"/>
        </w:pBdr>
        <w:ind w:right="63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65C09" w:rsidRPr="00E933A8" w:rsidRDefault="00F65C09" w:rsidP="00F65C09">
      <w:pPr>
        <w:jc w:val="center"/>
        <w:rPr>
          <w:rFonts w:ascii="Calibri" w:hAnsi="Calibri" w:cs="Calibri"/>
          <w:b/>
          <w:sz w:val="22"/>
          <w:szCs w:val="22"/>
        </w:rPr>
      </w:pPr>
    </w:p>
    <w:p w:rsidR="00F65C09" w:rsidRPr="00725D0F" w:rsidRDefault="00F65C09" w:rsidP="00F65C09">
      <w:pPr>
        <w:ind w:firstLine="720"/>
        <w:jc w:val="both"/>
        <w:rPr>
          <w:rFonts w:ascii="Myriad Pro" w:hAnsi="Myriad Pro"/>
          <w:b/>
          <w:sz w:val="22"/>
          <w:szCs w:val="22"/>
          <w:lang w:val="en-GB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</w:t>
      </w:r>
      <w:r w:rsidRPr="00725D0F">
        <w:rPr>
          <w:rFonts w:ascii="Calibri" w:hAnsi="Calibri" w:cs="Calibri"/>
          <w:b/>
          <w:snapToGrid w:val="0"/>
          <w:sz w:val="22"/>
          <w:szCs w:val="22"/>
        </w:rPr>
        <w:t xml:space="preserve"> RfQ18/01819 -</w:t>
      </w:r>
      <w:r w:rsidRPr="00725D0F">
        <w:rPr>
          <w:rFonts w:ascii="Myriad Pro" w:hAnsi="Myriad Pro"/>
          <w:b/>
          <w:color w:val="0070C0"/>
          <w:sz w:val="22"/>
          <w:szCs w:val="22"/>
          <w:u w:val="single"/>
          <w:lang w:val="en-GB"/>
        </w:rPr>
        <w:t xml:space="preserve"> </w:t>
      </w:r>
      <w:r w:rsidRPr="00725D0F">
        <w:rPr>
          <w:rFonts w:ascii="Myriad Pro" w:hAnsi="Myriad Pro"/>
          <w:b/>
          <w:sz w:val="22"/>
          <w:szCs w:val="22"/>
          <w:u w:val="single"/>
          <w:lang w:val="en-GB"/>
        </w:rPr>
        <w:t>Procurement and supply of 1 (one) electric forklift</w:t>
      </w:r>
      <w:r w:rsidRPr="00725D0F">
        <w:rPr>
          <w:rFonts w:ascii="Myriad Pro" w:hAnsi="Myriad Pro"/>
          <w:b/>
          <w:sz w:val="22"/>
          <w:szCs w:val="22"/>
          <w:lang w:val="en-GB"/>
        </w:rPr>
        <w:t>.</w:t>
      </w:r>
    </w:p>
    <w:p w:rsidR="00F65C09" w:rsidRDefault="00F65C09" w:rsidP="00F65C0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:rsidR="00F65C09" w:rsidRDefault="00F65C09" w:rsidP="00F65C09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TABLE </w:t>
      </w:r>
      <w:proofErr w:type="gramStart"/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1 :</w:t>
      </w:r>
      <w:proofErr w:type="gramEnd"/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:rsidR="00F65C09" w:rsidRPr="004F6969" w:rsidRDefault="00F65C09" w:rsidP="00F65C09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1080"/>
        <w:gridCol w:w="1350"/>
        <w:gridCol w:w="1170"/>
        <w:gridCol w:w="1440"/>
      </w:tblGrid>
      <w:tr w:rsidR="00F65C09" w:rsidRPr="00E933A8" w:rsidTr="000E6D51"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Item No.</w:t>
            </w:r>
          </w:p>
        </w:tc>
        <w:tc>
          <w:tcPr>
            <w:tcW w:w="378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Description/Specification of Goods</w:t>
            </w: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08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44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F65C09" w:rsidRPr="00E933A8" w:rsidTr="000E6D51"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5C09" w:rsidRPr="0020102B" w:rsidRDefault="00F65C09" w:rsidP="000E6D51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20102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Electric forklift</w:t>
            </w:r>
          </w:p>
        </w:tc>
        <w:tc>
          <w:tcPr>
            <w:tcW w:w="1080" w:type="dxa"/>
            <w:vAlign w:val="center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 days</w:t>
            </w:r>
          </w:p>
        </w:tc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Prices of Goods</w:t>
            </w:r>
            <w:r w:rsidRPr="00E933A8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44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Transportation </w:t>
            </w:r>
          </w:p>
        </w:tc>
        <w:tc>
          <w:tcPr>
            <w:tcW w:w="144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275"/>
        </w:trPr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Cost of Insurance</w:t>
            </w:r>
          </w:p>
        </w:tc>
        <w:tc>
          <w:tcPr>
            <w:tcW w:w="144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  <w:r w:rsidRPr="00E933A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 w:rsidRPr="00E933A8">
              <w:rPr>
                <w:rFonts w:ascii="Calibri" w:hAnsi="Calibri" w:cs="Calibri"/>
                <w:sz w:val="22"/>
                <w:szCs w:val="22"/>
              </w:rPr>
              <w:t>Add :</w:t>
            </w:r>
            <w:proofErr w:type="gramEnd"/>
            <w:r w:rsidRPr="00E933A8">
              <w:rPr>
                <w:rFonts w:ascii="Calibri" w:hAnsi="Calibri" w:cs="Calibri"/>
                <w:sz w:val="22"/>
                <w:szCs w:val="22"/>
              </w:rPr>
              <w:t xml:space="preserve"> Other Charges (pls. specify)</w:t>
            </w:r>
          </w:p>
        </w:tc>
        <w:tc>
          <w:tcPr>
            <w:tcW w:w="144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F65C09">
        <w:trPr>
          <w:trHeight w:val="485"/>
        </w:trPr>
        <w:tc>
          <w:tcPr>
            <w:tcW w:w="1170" w:type="dxa"/>
          </w:tcPr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4"/>
          </w:tcPr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Final and All-Inclusive Price Quotation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(USD, VAT 0%)</w:t>
            </w:r>
          </w:p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F65C09" w:rsidRPr="00E933A8" w:rsidRDefault="00F65C09" w:rsidP="000E6D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5C09" w:rsidRDefault="00F65C09" w:rsidP="00F65C09">
      <w:pPr>
        <w:rPr>
          <w:rFonts w:ascii="Calibri" w:hAnsi="Calibri" w:cs="Calibri"/>
          <w:sz w:val="22"/>
          <w:szCs w:val="22"/>
        </w:rPr>
      </w:pPr>
    </w:p>
    <w:p w:rsidR="00F65C09" w:rsidRPr="00E933A8" w:rsidRDefault="00F65C09" w:rsidP="00F65C09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proofErr w:type="gramEnd"/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:rsidR="00F65C09" w:rsidRPr="00E933A8" w:rsidRDefault="00F65C09" w:rsidP="00F65C09">
      <w:pPr>
        <w:rPr>
          <w:rFonts w:ascii="Calibri" w:hAnsi="Calibri" w:cs="Calibri"/>
          <w:sz w:val="22"/>
          <w:szCs w:val="22"/>
        </w:rPr>
      </w:pPr>
    </w:p>
    <w:tbl>
      <w:tblPr>
        <w:tblW w:w="9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1550"/>
        <w:gridCol w:w="1710"/>
        <w:gridCol w:w="2092"/>
      </w:tblGrid>
      <w:tr w:rsidR="00F65C09" w:rsidRPr="00E933A8" w:rsidTr="000E6D51">
        <w:trPr>
          <w:trHeight w:val="391"/>
        </w:trPr>
        <w:tc>
          <w:tcPr>
            <w:tcW w:w="4637" w:type="dxa"/>
            <w:vMerge w:val="restart"/>
          </w:tcPr>
          <w:p w:rsidR="00F65C09" w:rsidRPr="00E933A8" w:rsidRDefault="00F65C09" w:rsidP="000E6D51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 xml:space="preserve">Other Information pertaining to our Quotation are as </w:t>
            </w:r>
            <w:proofErr w:type="gramStart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follows :</w:t>
            </w:r>
            <w:proofErr w:type="gramEnd"/>
          </w:p>
        </w:tc>
        <w:tc>
          <w:tcPr>
            <w:tcW w:w="5352" w:type="dxa"/>
            <w:gridSpan w:val="3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F65C09" w:rsidRPr="00E933A8" w:rsidTr="000E6D51">
        <w:trPr>
          <w:trHeight w:val="919"/>
        </w:trPr>
        <w:tc>
          <w:tcPr>
            <w:tcW w:w="4637" w:type="dxa"/>
            <w:vMerge/>
          </w:tcPr>
          <w:p w:rsidR="00F65C09" w:rsidRPr="00E933A8" w:rsidRDefault="00F65C09" w:rsidP="000E6D51">
            <w:pPr>
              <w:ind w:firstLine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710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092" w:type="dxa"/>
          </w:tcPr>
          <w:p w:rsidR="00F65C09" w:rsidRPr="00E933A8" w:rsidRDefault="00F65C09" w:rsidP="000E6D51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F65C09" w:rsidRPr="00E933A8" w:rsidTr="000E6D51">
        <w:trPr>
          <w:trHeight w:val="339"/>
        </w:trPr>
        <w:tc>
          <w:tcPr>
            <w:tcW w:w="4637" w:type="dxa"/>
            <w:tcBorders>
              <w:right w:val="nil"/>
            </w:tcBorders>
          </w:tcPr>
          <w:p w:rsidR="00F65C09" w:rsidRPr="00E933A8" w:rsidRDefault="00F65C09" w:rsidP="000E6D5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up to 30 calendar days from the PO contract signature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bottom w:val="single" w:sz="4" w:space="0" w:color="auto"/>
              <w:right w:val="nil"/>
            </w:tcBorders>
          </w:tcPr>
          <w:p w:rsidR="00F65C09" w:rsidRPr="00E933A8" w:rsidRDefault="00F65C09" w:rsidP="000E6D5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Country/</w:t>
            </w:r>
            <w:proofErr w:type="spellStart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ies</w:t>
            </w:r>
            <w:proofErr w:type="spellEnd"/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 xml:space="preserve"> Of Origin: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bottom w:val="dotted" w:sz="4" w:space="0" w:color="auto"/>
              <w:right w:val="nil"/>
            </w:tcBorders>
          </w:tcPr>
          <w:p w:rsidR="00F65C09" w:rsidRPr="00E933A8" w:rsidRDefault="00F65C09" w:rsidP="000E6D5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65C09" w:rsidRDefault="00F65C09" w:rsidP="00F65C0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Minimum 1 (one) year warranty on both parts and labor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top w:val="dotted" w:sz="4" w:space="0" w:color="auto"/>
              <w:right w:val="nil"/>
            </w:tcBorders>
          </w:tcPr>
          <w:p w:rsidR="00F65C09" w:rsidRPr="00F82728" w:rsidRDefault="00F65C09" w:rsidP="00F65C0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Technical support provided through the Authorized Service Center in Moldova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top w:val="dotted" w:sz="4" w:space="0" w:color="auto"/>
              <w:right w:val="nil"/>
            </w:tcBorders>
          </w:tcPr>
          <w:p w:rsidR="00F65C09" w:rsidRDefault="00F65C09" w:rsidP="00F65C09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Availability of certificates of quality and origin for the offered equipment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right w:val="nil"/>
            </w:tcBorders>
          </w:tcPr>
          <w:p w:rsidR="00F65C09" w:rsidRPr="00E933A8" w:rsidRDefault="00F65C09" w:rsidP="000E6D5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90 days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C09" w:rsidRPr="00E933A8" w:rsidTr="000E6D51">
        <w:trPr>
          <w:trHeight w:val="311"/>
        </w:trPr>
        <w:tc>
          <w:tcPr>
            <w:tcW w:w="4637" w:type="dxa"/>
            <w:tcBorders>
              <w:right w:val="nil"/>
            </w:tcBorders>
          </w:tcPr>
          <w:p w:rsidR="00F65C09" w:rsidRPr="00E933A8" w:rsidRDefault="00F65C09" w:rsidP="000E6D5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09" w:rsidRPr="00E933A8" w:rsidRDefault="00F65C09" w:rsidP="000E6D5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5C09" w:rsidRPr="00E933A8" w:rsidRDefault="00F65C09" w:rsidP="00F65C09">
      <w:pPr>
        <w:rPr>
          <w:rFonts w:ascii="Calibri" w:hAnsi="Calibri" w:cs="Calibri"/>
          <w:sz w:val="22"/>
          <w:szCs w:val="22"/>
        </w:rPr>
      </w:pPr>
    </w:p>
    <w:p w:rsidR="00F65C09" w:rsidRPr="00E933A8" w:rsidRDefault="00F65C09" w:rsidP="00F65C09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:rsidR="00F65C09" w:rsidRPr="00E933A8" w:rsidRDefault="00F65C09" w:rsidP="00F65C09">
      <w:pPr>
        <w:rPr>
          <w:rFonts w:ascii="Calibri" w:hAnsi="Calibri" w:cs="Calibri"/>
          <w:sz w:val="22"/>
          <w:szCs w:val="22"/>
        </w:rPr>
      </w:pPr>
    </w:p>
    <w:p w:rsidR="00F65C09" w:rsidRPr="00E933A8" w:rsidRDefault="00F65C09" w:rsidP="00F65C09">
      <w:pPr>
        <w:rPr>
          <w:rFonts w:ascii="Calibri" w:hAnsi="Calibri" w:cs="Calibri"/>
          <w:sz w:val="22"/>
          <w:szCs w:val="22"/>
        </w:rPr>
      </w:pPr>
    </w:p>
    <w:p w:rsidR="00F65C09" w:rsidRPr="00E933A8" w:rsidRDefault="00F65C09" w:rsidP="00F65C09">
      <w:pPr>
        <w:rPr>
          <w:rFonts w:ascii="Calibri" w:hAnsi="Calibri" w:cs="Calibri"/>
          <w:sz w:val="22"/>
          <w:szCs w:val="22"/>
        </w:rPr>
      </w:pPr>
    </w:p>
    <w:p w:rsidR="00F65C09" w:rsidRPr="00E933A8" w:rsidRDefault="00F65C09" w:rsidP="00F65C09">
      <w:pPr>
        <w:rPr>
          <w:rFonts w:ascii="Calibri" w:hAnsi="Calibri" w:cs="Calibri"/>
          <w:sz w:val="22"/>
          <w:szCs w:val="22"/>
        </w:rPr>
      </w:pPr>
    </w:p>
    <w:p w:rsidR="00F65C09" w:rsidRPr="00E933A8" w:rsidRDefault="00F65C09" w:rsidP="00F65C0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:rsidR="00F65C09" w:rsidRPr="00E933A8" w:rsidRDefault="00F65C09" w:rsidP="00F65C0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:rsidR="00F65C09" w:rsidRPr="00E933A8" w:rsidRDefault="00F65C09" w:rsidP="00F65C09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p w:rsidR="00E80DFE" w:rsidRDefault="00EE1904"/>
    <w:sectPr w:rsidR="00E80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04" w:rsidRDefault="00EE1904" w:rsidP="00F65C09">
      <w:r>
        <w:separator/>
      </w:r>
    </w:p>
  </w:endnote>
  <w:endnote w:type="continuationSeparator" w:id="0">
    <w:p w:rsidR="00EE1904" w:rsidRDefault="00EE1904" w:rsidP="00F6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04" w:rsidRDefault="00EE1904" w:rsidP="00F65C09">
      <w:r>
        <w:separator/>
      </w:r>
    </w:p>
  </w:footnote>
  <w:footnote w:type="continuationSeparator" w:id="0">
    <w:p w:rsidR="00EE1904" w:rsidRDefault="00EE1904" w:rsidP="00F65C09">
      <w:r>
        <w:continuationSeparator/>
      </w:r>
    </w:p>
  </w:footnote>
  <w:footnote w:id="1">
    <w:p w:rsidR="00F65C09" w:rsidRPr="00BA0E6E" w:rsidRDefault="00F65C09" w:rsidP="00F65C09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:rsidR="00F65C09" w:rsidRPr="007E6019" w:rsidRDefault="00F65C09" w:rsidP="00F65C09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  <w:footnote w:id="3">
    <w:p w:rsidR="00F65C09" w:rsidRPr="0088197A" w:rsidRDefault="00F65C09" w:rsidP="00F65C09">
      <w:pPr>
        <w:pStyle w:val="FootnoteText"/>
        <w:rPr>
          <w:i/>
          <w:lang w:val="en-PH"/>
        </w:rPr>
      </w:pPr>
      <w:r w:rsidRPr="0088197A">
        <w:rPr>
          <w:rStyle w:val="FootnoteReference"/>
          <w:i/>
        </w:rPr>
        <w:footnoteRef/>
      </w:r>
      <w:r w:rsidRPr="0088197A">
        <w:rPr>
          <w:i/>
        </w:rPr>
        <w:t xml:space="preserve"> </w:t>
      </w:r>
      <w:r w:rsidRPr="0088197A">
        <w:rPr>
          <w:i/>
          <w:lang w:val="en-PH"/>
        </w:rPr>
        <w:t>Pr</w:t>
      </w:r>
      <w:r>
        <w:rPr>
          <w:i/>
          <w:lang w:val="en-PH"/>
        </w:rPr>
        <w:t>icing of goods should be consistent</w:t>
      </w:r>
      <w:r w:rsidRPr="0088197A">
        <w:rPr>
          <w:i/>
          <w:lang w:val="en-PH"/>
        </w:rPr>
        <w:t xml:space="preserve">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9"/>
    <w:rsid w:val="001E5A84"/>
    <w:rsid w:val="003A52AB"/>
    <w:rsid w:val="008043EB"/>
    <w:rsid w:val="00B84411"/>
    <w:rsid w:val="00EE1904"/>
    <w:rsid w:val="00F30AC6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6087C-331D-4B26-A93A-DBFEB47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65C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5C09"/>
  </w:style>
  <w:style w:type="character" w:customStyle="1" w:styleId="FootnoteTextChar">
    <w:name w:val="Footnote Text Char"/>
    <w:basedOn w:val="DefaultParagraphFont"/>
    <w:link w:val="FootnoteText"/>
    <w:uiPriority w:val="99"/>
    <w:rsid w:val="00F65C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panico.cornelia@gmail.com</dc:creator>
  <cp:keywords/>
  <dc:description/>
  <cp:lastModifiedBy>panico.cornelia@gmail.com</cp:lastModifiedBy>
  <cp:revision>1</cp:revision>
  <dcterms:created xsi:type="dcterms:W3CDTF">2018-09-27T10:51:00Z</dcterms:created>
  <dcterms:modified xsi:type="dcterms:W3CDTF">2018-09-27T10:52:00Z</dcterms:modified>
</cp:coreProperties>
</file>