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7"/>
        <w:gridCol w:w="222"/>
        <w:gridCol w:w="222"/>
      </w:tblGrid>
      <w:tr w:rsidR="00CA6D0D" w14:paraId="552561F1" w14:textId="77777777" w:rsidTr="000A331B">
        <w:trPr>
          <w:jc w:val="center"/>
        </w:trPr>
        <w:tc>
          <w:tcPr>
            <w:tcW w:w="10437" w:type="dxa"/>
            <w:vAlign w:val="center"/>
            <w:hideMark/>
          </w:tcPr>
          <w:tbl>
            <w:tblPr>
              <w:tblW w:w="10221" w:type="dxa"/>
              <w:jc w:val="center"/>
              <w:tblLook w:val="04A0" w:firstRow="1" w:lastRow="0" w:firstColumn="1" w:lastColumn="0" w:noHBand="0" w:noVBand="1"/>
            </w:tblPr>
            <w:tblGrid>
              <w:gridCol w:w="2981"/>
              <w:gridCol w:w="2946"/>
              <w:gridCol w:w="1722"/>
              <w:gridCol w:w="2572"/>
            </w:tblGrid>
            <w:tr w:rsidR="00CA6D0D" w14:paraId="4DEDC019" w14:textId="77777777">
              <w:trPr>
                <w:trHeight w:val="1904"/>
                <w:jc w:val="center"/>
              </w:trPr>
              <w:tc>
                <w:tcPr>
                  <w:tcW w:w="3449" w:type="dxa"/>
                  <w:hideMark/>
                </w:tcPr>
                <w:p w14:paraId="4267FCF9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D27ACA8" wp14:editId="06178D97">
                        <wp:extent cx="609600" cy="704850"/>
                        <wp:effectExtent l="0" t="0" r="0" b="0"/>
                        <wp:docPr id="3" name="Picture 3" descr="Emblema Guvernului Republicii Moldov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mblema Guvernului Republicii Moldov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2" w:type="dxa"/>
                  <w:hideMark/>
                </w:tcPr>
                <w:p w14:paraId="2A60A66A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 wp14:anchorId="509F8430" wp14:editId="129F1755">
                        <wp:extent cx="1724025" cy="771525"/>
                        <wp:effectExtent l="0" t="0" r="9525" b="9525"/>
                        <wp:docPr id="2" name="Picture 2" descr="SDC-Rom-Ru_RGB_hoch_p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SDC-Rom-Ru_RGB_hoch_p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7" w:type="dxa"/>
                  <w:hideMark/>
                </w:tcPr>
                <w:p w14:paraId="58DCEEB2" w14:textId="77777777" w:rsidR="000A331B" w:rsidRDefault="00A01F9A">
                  <w:pPr>
                    <w:spacing w:after="12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58240" behindDoc="1" locked="0" layoutInCell="1" allowOverlap="1" wp14:anchorId="7C4ECEF3" wp14:editId="76662D85">
                        <wp:simplePos x="0" y="0"/>
                        <wp:positionH relativeFrom="column">
                          <wp:posOffset>521970</wp:posOffset>
                        </wp:positionH>
                        <wp:positionV relativeFrom="paragraph">
                          <wp:posOffset>99695</wp:posOffset>
                        </wp:positionV>
                        <wp:extent cx="331470" cy="7048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016"/>
                            <wp:lineTo x="19862" y="21016"/>
                            <wp:lineTo x="19862" y="0"/>
                            <wp:lineTo x="0" y="0"/>
                          </wp:wrapPolygon>
                        </wp:wrapTight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47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43" w:type="dxa"/>
                  <w:hideMark/>
                </w:tcPr>
                <w:p w14:paraId="2EBE19BA" w14:textId="77777777" w:rsidR="000A331B" w:rsidRDefault="00A01F9A">
                  <w:pPr>
                    <w:spacing w:after="120"/>
                    <w:ind w:right="-465" w:firstLine="225"/>
                    <w:jc w:val="center"/>
                    <w:rPr>
                      <w:lang w:eastAsia="ro-RO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48ED4139" wp14:editId="50EC15ED">
                        <wp:extent cx="933450" cy="6477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EF5C85" w14:textId="77777777" w:rsidR="000A331B" w:rsidRDefault="00562B6B">
            <w:pPr>
              <w:spacing w:after="120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vAlign w:val="center"/>
          </w:tcPr>
          <w:p w14:paraId="5DBD2132" w14:textId="77777777" w:rsidR="000A331B" w:rsidRDefault="00562B6B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2" w:type="dxa"/>
            <w:vAlign w:val="center"/>
          </w:tcPr>
          <w:p w14:paraId="3BAF74EC" w14:textId="77777777" w:rsidR="000A331B" w:rsidRDefault="00562B6B">
            <w:pPr>
              <w:spacing w:after="1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62B3D16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ПРИГЛАШЕНИЕ </w:t>
      </w:r>
    </w:p>
    <w:p w14:paraId="13D32300" w14:textId="77777777" w:rsidR="004105A2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на конкурс ассоциаций земляков (АЗ) – бенефициаров программы грантов 1+1 </w:t>
      </w:r>
    </w:p>
    <w:p w14:paraId="25F27EB5" w14:textId="5FE16950" w:rsidR="00B129B7" w:rsidRPr="00562B6B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«акселератор ассоциаций земляков» </w:t>
      </w:r>
      <w:r w:rsidR="00562B6B">
        <w:rPr>
          <w:rFonts w:ascii="Myriad Pro" w:hAnsi="Myriad Pro"/>
          <w:b/>
          <w:smallCaps/>
          <w:color w:val="0000FF"/>
          <w:spacing w:val="20"/>
          <w:sz w:val="28"/>
          <w:szCs w:val="28"/>
        </w:rPr>
        <w:t>2021</w:t>
      </w:r>
      <w:bookmarkStart w:id="0" w:name="_GoBack"/>
      <w:bookmarkEnd w:id="0"/>
    </w:p>
    <w:p w14:paraId="62F3B913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 xml:space="preserve">в рамках  </w:t>
      </w:r>
    </w:p>
    <w:p w14:paraId="3B0FE724" w14:textId="77777777" w:rsidR="000A331B" w:rsidRPr="00A01F9A" w:rsidRDefault="00A01F9A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</w:pPr>
      <w:r>
        <w:rPr>
          <w:rFonts w:ascii="Myriad Pro" w:hAnsi="Myriad Pro"/>
          <w:b/>
          <w:smallCaps/>
          <w:color w:val="0000FF"/>
          <w:spacing w:val="20"/>
          <w:sz w:val="28"/>
          <w:szCs w:val="28"/>
          <w:lang w:val="ru-RU"/>
        </w:rPr>
        <w:t>проекта ПРООН "Миграция и местное развитие" 2019-2022 гг.</w:t>
      </w:r>
    </w:p>
    <w:p w14:paraId="6C2336BA" w14:textId="77777777" w:rsidR="000A331B" w:rsidRPr="00A01F9A" w:rsidRDefault="00562B6B" w:rsidP="000A331B">
      <w:pPr>
        <w:tabs>
          <w:tab w:val="left" w:pos="4170"/>
        </w:tabs>
        <w:spacing w:after="0" w:line="240" w:lineRule="auto"/>
        <w:jc w:val="center"/>
        <w:rPr>
          <w:rFonts w:ascii="Myriad Pro" w:hAnsi="Myriad Pro"/>
          <w:b/>
          <w:smallCaps/>
          <w:color w:val="000000" w:themeColor="text1"/>
          <w:spacing w:val="20"/>
          <w:sz w:val="28"/>
          <w:szCs w:val="28"/>
          <w:lang w:val="ru-RU"/>
        </w:rPr>
      </w:pPr>
    </w:p>
    <w:p w14:paraId="1DF777EE" w14:textId="77777777" w:rsidR="000A331B" w:rsidRPr="00A01F9A" w:rsidRDefault="00A01F9A" w:rsidP="000A331B">
      <w:pPr>
        <w:spacing w:after="0" w:line="240" w:lineRule="auto"/>
        <w:jc w:val="both"/>
        <w:rPr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Общая информация: </w:t>
      </w:r>
    </w:p>
    <w:p w14:paraId="39C0B0C4" w14:textId="77777777" w:rsidR="000A331B" w:rsidRPr="00A01F9A" w:rsidRDefault="00562B6B" w:rsidP="000A331B">
      <w:pPr>
        <w:spacing w:after="0" w:line="240" w:lineRule="auto"/>
        <w:jc w:val="both"/>
        <w:rPr>
          <w:sz w:val="20"/>
          <w:szCs w:val="20"/>
          <w:lang w:val="ru-RU"/>
        </w:rPr>
      </w:pPr>
    </w:p>
    <w:p w14:paraId="304A17BC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Целью проекта "Миграция и местное развитие» является поддержка развития </w:t>
      </w:r>
      <w:r w:rsidRPr="00B44224">
        <w:rPr>
          <w:rFonts w:cs="Arial"/>
          <w:sz w:val="20"/>
          <w:szCs w:val="20"/>
          <w:lang w:val="ru-RU"/>
        </w:rPr>
        <w:t>пострадавших от миграции</w:t>
      </w:r>
      <w:r>
        <w:rPr>
          <w:rFonts w:cs="Arial"/>
          <w:sz w:val="20"/>
          <w:szCs w:val="20"/>
          <w:lang w:val="ru-RU"/>
        </w:rPr>
        <w:t xml:space="preserve"> местных </w:t>
      </w:r>
      <w:r w:rsidRPr="00B44224">
        <w:rPr>
          <w:rFonts w:cs="Arial"/>
          <w:sz w:val="20"/>
          <w:szCs w:val="20"/>
          <w:lang w:val="ru-RU"/>
        </w:rPr>
        <w:t xml:space="preserve">сообществ </w:t>
      </w:r>
      <w:r>
        <w:rPr>
          <w:rFonts w:cs="Arial"/>
          <w:sz w:val="20"/>
          <w:szCs w:val="20"/>
          <w:lang w:val="ru-RU"/>
        </w:rPr>
        <w:t>Республики</w:t>
      </w:r>
      <w:r w:rsidRPr="00B44224">
        <w:rPr>
          <w:rFonts w:cs="Arial"/>
          <w:sz w:val="20"/>
          <w:szCs w:val="20"/>
          <w:lang w:val="ru-RU"/>
        </w:rPr>
        <w:t xml:space="preserve"> Молдова путем улучшения местных публичных услуг и стимулирования экономической деятельности, приносящей доход, в том числе путем поощрения экономического участия диаспоры в процессе экономической активизации населенных пунктов</w:t>
      </w:r>
      <w:r>
        <w:rPr>
          <w:rFonts w:cs="Arial"/>
          <w:sz w:val="20"/>
          <w:szCs w:val="20"/>
          <w:lang w:val="ru-RU"/>
        </w:rPr>
        <w:t xml:space="preserve"> на родине. </w:t>
      </w:r>
    </w:p>
    <w:p w14:paraId="257D5A8B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 xml:space="preserve">В ходе осуществления </w:t>
      </w:r>
      <w:r w:rsidRPr="00B44224">
        <w:rPr>
          <w:rFonts w:cs="Arial"/>
          <w:sz w:val="20"/>
          <w:szCs w:val="20"/>
          <w:lang w:val="ru-RU"/>
        </w:rPr>
        <w:t>проекта ПРООН "Миграция и местное развитие "(MiDL) в 2015-2018 гг. при финансовой поддержке Швейцарского агентства развития и сотрудничества в 38 населенных пунктах, более 10 000 мигрантов приняло участие в реализации более 50 проектов экономического развития и развития местных услуг в своих родных населенных пунктах, бенефициарами которых стало более 300 000 человек</w:t>
      </w:r>
      <w:r>
        <w:rPr>
          <w:rFonts w:cs="Arial"/>
          <w:sz w:val="20"/>
          <w:szCs w:val="20"/>
          <w:lang w:val="ru-RU"/>
        </w:rPr>
        <w:t>.</w:t>
      </w:r>
    </w:p>
    <w:p w14:paraId="550758C4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Все эти проекты были совместно профинансированы и реализованы в партнерстве между местными органами государственной власти и мигрантами при активном участии ассоциаций земляков (АЗ). На данном этапе в Республике Молдова уже имеется более 38 действующих ассоциаций земляков, созданных на I этапе проекта ПРООН "Миграция и местное развитие". При поддержке Конгресса местных властей Молдовы были выдвинуты инициативы на основе этой модели и с использованием методологии ПРООН </w:t>
      </w:r>
      <w:r>
        <w:rPr>
          <w:rFonts w:cs="Arial"/>
          <w:sz w:val="20"/>
          <w:szCs w:val="20"/>
          <w:lang w:val="ru-RU"/>
        </w:rPr>
        <w:t xml:space="preserve">создать </w:t>
      </w:r>
      <w:r w:rsidRPr="00B44224">
        <w:rPr>
          <w:rFonts w:cs="Arial"/>
          <w:sz w:val="20"/>
          <w:szCs w:val="20"/>
          <w:lang w:val="ru-RU"/>
        </w:rPr>
        <w:t xml:space="preserve">ещё 101 </w:t>
      </w:r>
      <w:r>
        <w:rPr>
          <w:rFonts w:cs="Arial"/>
          <w:sz w:val="20"/>
          <w:szCs w:val="20"/>
          <w:lang w:val="ru-RU"/>
        </w:rPr>
        <w:t>ассоциацию</w:t>
      </w:r>
      <w:r w:rsidRPr="00B44224">
        <w:rPr>
          <w:rFonts w:cs="Arial"/>
          <w:sz w:val="20"/>
          <w:szCs w:val="20"/>
          <w:lang w:val="ru-RU"/>
        </w:rPr>
        <w:t xml:space="preserve"> земляков (уже зарегистрированы или созданы инициативные группы)</w:t>
      </w:r>
      <w:r>
        <w:rPr>
          <w:rFonts w:cs="Arial"/>
          <w:sz w:val="20"/>
          <w:szCs w:val="20"/>
          <w:lang w:val="ru-RU"/>
        </w:rPr>
        <w:t>.</w:t>
      </w:r>
    </w:p>
    <w:p w14:paraId="15E541FB" w14:textId="77777777" w:rsidR="000A331B" w:rsidRPr="00A01F9A" w:rsidRDefault="00562B6B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1720E771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 w:rsidRPr="00B44224">
        <w:rPr>
          <w:rFonts w:cs="Arial"/>
          <w:sz w:val="20"/>
          <w:szCs w:val="20"/>
          <w:lang w:val="ru-RU"/>
        </w:rPr>
        <w:t xml:space="preserve">Проект ПРООН / "Миграция и местное развитие" -  II этап (2019-2022 гг.) продолжит поддерживать создание и наращивание потенциала </w:t>
      </w:r>
      <w:r>
        <w:rPr>
          <w:rFonts w:cs="Arial"/>
          <w:sz w:val="20"/>
          <w:szCs w:val="20"/>
          <w:lang w:val="ru-RU"/>
        </w:rPr>
        <w:t>а</w:t>
      </w:r>
      <w:r w:rsidRPr="00B44224">
        <w:rPr>
          <w:rFonts w:cs="Arial"/>
          <w:sz w:val="20"/>
          <w:szCs w:val="20"/>
          <w:lang w:val="ru-RU"/>
        </w:rPr>
        <w:t>ссоциаций земляков в качестве партнеров местных органов власти для устойчивого развития населенных пунктов Молдовы с участием местных жителей</w:t>
      </w:r>
      <w:r>
        <w:rPr>
          <w:rFonts w:cs="Arial"/>
          <w:sz w:val="20"/>
          <w:szCs w:val="20"/>
          <w:lang w:val="ru-RU"/>
        </w:rPr>
        <w:t>, уехавших из родных мест.</w:t>
      </w:r>
    </w:p>
    <w:p w14:paraId="645BA8CC" w14:textId="77777777" w:rsidR="0057111D" w:rsidRPr="00A01F9A" w:rsidRDefault="00562B6B" w:rsidP="0057111D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2B6796A4" w14:textId="77777777" w:rsidR="0057111D" w:rsidRPr="00A01F9A" w:rsidRDefault="00A01F9A" w:rsidP="0057111D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Ассоциации земляков, которые соответствуют приведенным ниже критериям, приглашаются подать заявку на получение поддержки в виде технической и финансовой помощи (совместное финансирование до $ 10.000 на основе принципа 1 + 1) для реализации совместных проектов местного развития с участием представителей диаспоры в выявлении наиболее приоритетных проблем, предлагаемых для решения.</w:t>
      </w:r>
    </w:p>
    <w:p w14:paraId="400AE712" w14:textId="77777777" w:rsidR="000A331B" w:rsidRPr="00A01F9A" w:rsidRDefault="00562B6B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</w:p>
    <w:p w14:paraId="7D4F810A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Процесс и срок подачи заявки: </w:t>
      </w:r>
    </w:p>
    <w:p w14:paraId="6E166539" w14:textId="77777777" w:rsidR="000A331B" w:rsidRDefault="00562B6B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o-RO"/>
        </w:rPr>
      </w:pPr>
    </w:p>
    <w:p w14:paraId="6C364101" w14:textId="3C41A476" w:rsidR="000A331B" w:rsidRPr="00393052" w:rsidRDefault="00A01F9A" w:rsidP="000A33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>
        <w:rPr>
          <w:rFonts w:asciiTheme="minorHAnsi" w:hAnsiTheme="minorHAnsi" w:cstheme="minorHAnsi"/>
          <w:sz w:val="20"/>
          <w:szCs w:val="20"/>
          <w:lang w:val="ru-RU"/>
        </w:rPr>
        <w:t xml:space="preserve">Пакет с документами заявки должен быть отправлен в электронном виде на следующий адрес электронной почты: </w:t>
      </w:r>
      <w:hyperlink r:id="rId9" w:history="1">
        <w:r w:rsidRPr="00100953">
          <w:rPr>
            <w:rStyle w:val="Hyperlink"/>
            <w:rFonts w:cs="Arial"/>
            <w:sz w:val="20"/>
            <w:szCs w:val="20"/>
            <w:lang w:val="ru-RU"/>
          </w:rPr>
          <w:t>victoria.ivancioglo@undp.org</w:t>
        </w:r>
      </w:hyperlink>
      <w:r>
        <w:rPr>
          <w:rFonts w:asciiTheme="minorHAnsi" w:hAnsiTheme="minorHAnsi" w:cstheme="minorHAnsi"/>
          <w:sz w:val="20"/>
          <w:szCs w:val="20"/>
          <w:lang w:val="ru-RU"/>
        </w:rPr>
        <w:t xml:space="preserve"> со следующим текстом в заголовке сообщения: "Конкурс грантов для акселератора ассоциаций земляков" до </w:t>
      </w:r>
      <w:r w:rsidR="00393052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17</w:t>
      </w:r>
      <w:r w:rsidR="00764603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</w:t>
      </w:r>
      <w:r w:rsidR="0028386C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марта</w:t>
      </w:r>
      <w:r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 xml:space="preserve"> 20</w:t>
      </w:r>
      <w:r w:rsidR="0028386C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2</w:t>
      </w:r>
      <w:r w:rsidR="00764603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1</w:t>
      </w:r>
      <w:r w:rsidRPr="00393052">
        <w:rPr>
          <w:rFonts w:asciiTheme="minorHAnsi" w:hAnsiTheme="minorHAnsi" w:cstheme="minorHAnsi"/>
          <w:sz w:val="20"/>
          <w:szCs w:val="20"/>
          <w:lang w:val="ru-RU"/>
        </w:rPr>
        <w:t xml:space="preserve"> года</w:t>
      </w:r>
      <w:r>
        <w:rPr>
          <w:rFonts w:asciiTheme="minorHAnsi" w:hAnsiTheme="minorHAnsi" w:cstheme="minorHAnsi"/>
          <w:sz w:val="20"/>
          <w:szCs w:val="20"/>
          <w:lang w:val="ru-RU"/>
        </w:rPr>
        <w:t>, 17.00 (по молдавскому времени).</w:t>
      </w:r>
    </w:p>
    <w:p w14:paraId="7868A298" w14:textId="77777777" w:rsidR="0057111D" w:rsidRPr="00393052" w:rsidRDefault="00562B6B" w:rsidP="0057111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p w14:paraId="61329C53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 xml:space="preserve">Пакет документов для участия в конкурсе: </w:t>
      </w:r>
    </w:p>
    <w:p w14:paraId="6DA406C6" w14:textId="77777777" w:rsidR="000A331B" w:rsidRPr="00A01F9A" w:rsidRDefault="00562B6B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48A4C5FA" w14:textId="77777777" w:rsidR="000A331B" w:rsidRPr="00A01F9A" w:rsidRDefault="00A01F9A" w:rsidP="000A331B">
      <w:pPr>
        <w:spacing w:after="0" w:line="240" w:lineRule="auto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Пакет документов для участия в конкурсе состоит из:</w:t>
      </w:r>
    </w:p>
    <w:p w14:paraId="61D4189D" w14:textId="77777777" w:rsidR="0028386C" w:rsidRPr="00B3323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lastRenderedPageBreak/>
        <w:t>Типовая форма заявки - Приложение 1;</w:t>
      </w:r>
    </w:p>
    <w:p w14:paraId="20C11A13" w14:textId="77777777" w:rsidR="0028386C" w:rsidRPr="00A507D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bookmarkStart w:id="1" w:name="_Hlk31036605"/>
      <w:r w:rsidRPr="00A507D9">
        <w:rPr>
          <w:rFonts w:ascii="Calibri" w:eastAsia="Calibri" w:hAnsi="Calibri" w:cs="Arial"/>
          <w:sz w:val="20"/>
          <w:szCs w:val="20"/>
          <w:lang w:val="ru-RU"/>
        </w:rPr>
        <w:t>Заполненный бюджет проекта - Приложение 1а;</w:t>
      </w:r>
    </w:p>
    <w:bookmarkEnd w:id="1"/>
    <w:p w14:paraId="2B1218FB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Обязательство участвовать в программе - Приложение 2;</w:t>
      </w:r>
    </w:p>
    <w:p w14:paraId="705512FF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Подтверждение определения приоритетных идей проекта с участием мигрантов / представителей диаспоры из данного населенного пункта;</w:t>
      </w:r>
    </w:p>
    <w:p w14:paraId="0AC6BB39" w14:textId="77777777" w:rsidR="0028386C" w:rsidRPr="00B33239" w:rsidRDefault="0028386C" w:rsidP="0028386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>Копия свидетельства о регистрации и устава ассоциации земляков</w:t>
      </w:r>
      <w:bookmarkStart w:id="2" w:name="_Hlk3192198"/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; </w:t>
      </w:r>
      <w:bookmarkEnd w:id="2"/>
    </w:p>
    <w:p w14:paraId="15083B60" w14:textId="18DDF578" w:rsidR="00A507D9" w:rsidRPr="009E6E23" w:rsidRDefault="00A507D9" w:rsidP="00A507D9">
      <w:pPr>
        <w:pStyle w:val="ListParagraph"/>
        <w:numPr>
          <w:ilvl w:val="0"/>
          <w:numId w:val="2"/>
        </w:numPr>
        <w:autoSpaceDE w:val="0"/>
        <w:autoSpaceDN w:val="0"/>
        <w:adjustRightInd w:val="0"/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9E6E23">
        <w:rPr>
          <w:rFonts w:ascii="Calibri" w:eastAsia="Calibri" w:hAnsi="Calibri" w:cs="Arial"/>
          <w:sz w:val="20"/>
          <w:szCs w:val="20"/>
          <w:lang w:val="ru-RU"/>
        </w:rPr>
        <w:t xml:space="preserve">Письмо / соглашение о партнерстве, подписанное местным органом власти, подтверждающее его поддержку в реализации проекта -Приложение </w:t>
      </w:r>
      <w:r>
        <w:rPr>
          <w:rFonts w:ascii="Calibri" w:eastAsia="Calibri" w:hAnsi="Calibri" w:cs="Arial"/>
          <w:sz w:val="20"/>
          <w:szCs w:val="20"/>
          <w:lang w:val="ro-MD"/>
        </w:rPr>
        <w:t>3</w:t>
      </w:r>
      <w:r w:rsidRPr="009E6E23">
        <w:rPr>
          <w:rFonts w:ascii="Calibri" w:eastAsia="Calibri" w:hAnsi="Calibri" w:cs="Arial"/>
          <w:sz w:val="20"/>
          <w:szCs w:val="20"/>
          <w:lang w:val="ru-RU"/>
        </w:rPr>
        <w:t>;</w:t>
      </w:r>
    </w:p>
    <w:p w14:paraId="0509337B" w14:textId="336967CC" w:rsidR="0028386C" w:rsidRPr="00B33239" w:rsidRDefault="0028386C" w:rsidP="0028386C">
      <w:pPr>
        <w:pStyle w:val="ListParagraph"/>
        <w:numPr>
          <w:ilvl w:val="0"/>
          <w:numId w:val="2"/>
        </w:numPr>
        <w:snapToGrid w:val="0"/>
        <w:spacing w:before="120"/>
        <w:jc w:val="both"/>
        <w:rPr>
          <w:rFonts w:ascii="Calibri" w:eastAsia="Calibri" w:hAnsi="Calibri" w:cs="Arial"/>
          <w:sz w:val="20"/>
          <w:szCs w:val="20"/>
          <w:lang w:val="ru-RU"/>
        </w:rPr>
      </w:pPr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Обязательство по сбору средств (фандрайзингу) среди земляков - Приложение </w:t>
      </w:r>
      <w:r w:rsidR="00A507D9">
        <w:rPr>
          <w:rFonts w:ascii="Calibri" w:eastAsia="Calibri" w:hAnsi="Calibri" w:cs="Arial"/>
          <w:sz w:val="20"/>
          <w:szCs w:val="20"/>
          <w:lang w:val="ro-MD"/>
        </w:rPr>
        <w:t>4</w:t>
      </w:r>
      <w:r w:rsidR="009E6E23" w:rsidRPr="009E6E23">
        <w:rPr>
          <w:rFonts w:ascii="Calibri" w:eastAsia="Calibri" w:hAnsi="Calibri" w:cs="Arial"/>
          <w:sz w:val="20"/>
          <w:szCs w:val="20"/>
          <w:lang w:val="ru-RU"/>
        </w:rPr>
        <w:t>;</w:t>
      </w:r>
      <w:r w:rsidRPr="00B33239">
        <w:rPr>
          <w:rFonts w:ascii="Calibri" w:eastAsia="Calibri" w:hAnsi="Calibri" w:cs="Arial"/>
          <w:sz w:val="20"/>
          <w:szCs w:val="20"/>
          <w:lang w:val="ru-RU"/>
        </w:rPr>
        <w:t xml:space="preserve"> </w:t>
      </w:r>
    </w:p>
    <w:p w14:paraId="36E50BDA" w14:textId="77777777" w:rsidR="000A331B" w:rsidRPr="00A01F9A" w:rsidRDefault="00562B6B" w:rsidP="000A33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ru-RU"/>
        </w:rPr>
      </w:pPr>
    </w:p>
    <w:p w14:paraId="0C04774D" w14:textId="3433060D" w:rsidR="000A331B" w:rsidRDefault="00A01F9A" w:rsidP="000A331B">
      <w:pPr>
        <w:spacing w:after="0" w:line="240" w:lineRule="auto"/>
        <w:jc w:val="both"/>
        <w:rPr>
          <w:rFonts w:cs="Arial"/>
          <w:b/>
          <w:sz w:val="20"/>
          <w:szCs w:val="20"/>
          <w:u w:val="single"/>
          <w:lang w:val="ru-RU"/>
        </w:rPr>
      </w:pPr>
      <w:r>
        <w:rPr>
          <w:rFonts w:cs="Arial"/>
          <w:b/>
          <w:sz w:val="20"/>
          <w:szCs w:val="20"/>
          <w:u w:val="single"/>
          <w:lang w:val="ru-RU"/>
        </w:rPr>
        <w:t xml:space="preserve">Критерии отбора ассоциации земляков - бенефициара программы "Акселератор 1+1": </w:t>
      </w:r>
    </w:p>
    <w:p w14:paraId="247BE74F" w14:textId="77777777" w:rsidR="007B21ED" w:rsidRPr="00A01F9A" w:rsidRDefault="007B21ED" w:rsidP="000A331B">
      <w:pPr>
        <w:spacing w:after="0" w:line="240" w:lineRule="auto"/>
        <w:jc w:val="both"/>
        <w:rPr>
          <w:rFonts w:cs="Arial"/>
          <w:b/>
          <w:sz w:val="20"/>
          <w:szCs w:val="20"/>
          <w:u w:val="single"/>
          <w:lang w:val="ru-RU"/>
        </w:rPr>
      </w:pPr>
    </w:p>
    <w:p w14:paraId="44446529" w14:textId="77777777" w:rsidR="007B21ED" w:rsidRPr="00571307" w:rsidRDefault="007B21ED" w:rsidP="007B21ED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  <w:lang w:val="ro-RO"/>
        </w:rPr>
      </w:pPr>
      <w:r w:rsidRPr="00571307">
        <w:rPr>
          <w:rFonts w:asciiTheme="minorHAnsi" w:hAnsiTheme="minorHAnsi" w:cstheme="minorHAnsi"/>
          <w:b/>
          <w:bCs/>
          <w:sz w:val="20"/>
          <w:szCs w:val="20"/>
          <w:u w:val="single"/>
          <w:lang w:val="ro-RO"/>
        </w:rPr>
        <w:t xml:space="preserve">Примечание: </w:t>
      </w:r>
      <w:r w:rsidRPr="007B21ED">
        <w:rPr>
          <w:rFonts w:asciiTheme="minorHAnsi" w:hAnsiTheme="minorHAnsi" w:cstheme="minorHAnsi"/>
          <w:sz w:val="20"/>
          <w:szCs w:val="20"/>
          <w:lang w:val="ro-RO"/>
        </w:rPr>
        <w:t>Ассоциации земляков, получившие финансовую поддержку в рамках программы Акселератор Ассоциаций земляков проекта ПРООН/MiDL или правительственной программы «Диаспора дома преуспевает» DAR 1+3 (2020) не имеют права на получение финансирования.</w:t>
      </w:r>
    </w:p>
    <w:p w14:paraId="0EE9A386" w14:textId="77777777" w:rsidR="007B21ED" w:rsidRPr="001931B3" w:rsidRDefault="007B21ED" w:rsidP="007B21ED">
      <w:pPr>
        <w:shd w:val="clear" w:color="auto" w:fill="FFFFFF" w:themeFill="background1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  <w:lang w:val="ro-RO"/>
        </w:rPr>
      </w:pPr>
      <w:r w:rsidRPr="001931B3">
        <w:rPr>
          <w:rFonts w:asciiTheme="minorHAnsi" w:hAnsiTheme="minorHAnsi" w:cstheme="minorHAnsi"/>
          <w:sz w:val="20"/>
          <w:szCs w:val="20"/>
          <w:lang w:val="ru-RU"/>
        </w:rPr>
        <w:t>Для соответствия условиям допущения</w:t>
      </w:r>
      <w:r w:rsidRPr="001931B3">
        <w:rPr>
          <w:rFonts w:asciiTheme="minorHAnsi" w:hAnsiTheme="minorHAnsi" w:cstheme="minorHAnsi"/>
          <w:sz w:val="20"/>
          <w:szCs w:val="20"/>
          <w:lang w:val="ro-RO"/>
        </w:rPr>
        <w:t xml:space="preserve">, </w:t>
      </w:r>
      <w:r w:rsidRPr="001931B3">
        <w:rPr>
          <w:rFonts w:asciiTheme="minorHAnsi" w:hAnsiTheme="minorHAnsi" w:cstheme="minorHAnsi"/>
          <w:sz w:val="20"/>
          <w:szCs w:val="20"/>
          <w:lang w:val="ru-RU"/>
        </w:rPr>
        <w:t xml:space="preserve">АЗ </w:t>
      </w:r>
      <w:r w:rsidRPr="001931B3">
        <w:rPr>
          <w:rFonts w:asciiTheme="minorHAnsi" w:hAnsiTheme="minorHAnsi" w:cstheme="minorHAnsi"/>
          <w:sz w:val="20"/>
          <w:szCs w:val="20"/>
          <w:lang w:val="ro-RO"/>
        </w:rPr>
        <w:t xml:space="preserve">и </w:t>
      </w:r>
      <w:r w:rsidRPr="001931B3">
        <w:rPr>
          <w:rFonts w:asciiTheme="minorHAnsi" w:hAnsiTheme="minorHAnsi" w:cstheme="minorHAnsi"/>
          <w:sz w:val="20"/>
          <w:szCs w:val="20"/>
          <w:lang w:val="ru-RU"/>
        </w:rPr>
        <w:t xml:space="preserve">их </w:t>
      </w:r>
      <w:r w:rsidRPr="001931B3">
        <w:rPr>
          <w:rFonts w:asciiTheme="minorHAnsi" w:hAnsiTheme="minorHAnsi" w:cstheme="minorHAnsi"/>
          <w:sz w:val="20"/>
          <w:szCs w:val="20"/>
          <w:lang w:val="ro-RO"/>
        </w:rPr>
        <w:t>проектные предложения должны соответствовать ряду минимальных критериев, а именно:</w:t>
      </w:r>
    </w:p>
    <w:p w14:paraId="33DC9A7F" w14:textId="77777777" w:rsidR="0028386C" w:rsidRPr="007B21ED" w:rsidRDefault="0028386C" w:rsidP="0028386C">
      <w:pPr>
        <w:spacing w:after="0" w:line="240" w:lineRule="auto"/>
        <w:jc w:val="both"/>
        <w:rPr>
          <w:rFonts w:cs="Arial"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"/>
        <w:gridCol w:w="7881"/>
      </w:tblGrid>
      <w:tr w:rsidR="0028386C" w:rsidRPr="00562B6B" w14:paraId="4CAEDA96" w14:textId="77777777" w:rsidTr="0028386C">
        <w:tc>
          <w:tcPr>
            <w:tcW w:w="1469" w:type="dxa"/>
          </w:tcPr>
          <w:p w14:paraId="311FC18B" w14:textId="77777777" w:rsidR="0028386C" w:rsidRPr="009E6E23" w:rsidRDefault="0028386C" w:rsidP="00FF7E2B">
            <w:pPr>
              <w:rPr>
                <w:rFonts w:cs="Arial"/>
                <w:sz w:val="20"/>
                <w:szCs w:val="20"/>
                <w:lang w:val="ru-RU"/>
              </w:rPr>
            </w:pPr>
            <w:r w:rsidRPr="009E6E23">
              <w:rPr>
                <w:rFonts w:cs="Arial"/>
                <w:sz w:val="20"/>
                <w:szCs w:val="20"/>
                <w:lang w:val="ru-RU"/>
              </w:rPr>
              <w:t xml:space="preserve">Критерии отбора:  </w:t>
            </w:r>
          </w:p>
          <w:p w14:paraId="2A50CF4F" w14:textId="77777777" w:rsidR="0028386C" w:rsidRPr="009E6E23" w:rsidRDefault="0028386C" w:rsidP="00FF7E2B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7881" w:type="dxa"/>
          </w:tcPr>
          <w:p w14:paraId="792DCD0E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Зарегистрированные общественные ассоциации, целью которых является сотрудничество с местным органом власти и привлечение земляков / мигрантов в развитие своего родного населенного пункта Молдовы.</w:t>
            </w:r>
          </w:p>
          <w:p w14:paraId="6D209D9A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Идея проекта должна быть выработана на основе инклюзивного процесса с участием земляков/ мигрантов</w:t>
            </w:r>
          </w:p>
          <w:p w14:paraId="174AFF2E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Поддержка со стороны местного органа власти должна быть подтверждена письмом</w:t>
            </w:r>
          </w:p>
          <w:p w14:paraId="332C4048" w14:textId="711C31C9" w:rsidR="0028386C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Административный Совет Ассоциации является действующим</w:t>
            </w:r>
          </w:p>
          <w:p w14:paraId="61AECD5A" w14:textId="7A417C32" w:rsidR="00764603" w:rsidRPr="009E6E23" w:rsidRDefault="00764603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764603">
              <w:rPr>
                <w:rFonts w:ascii="Calibri" w:hAnsi="Calibri" w:cs="Arial"/>
                <w:sz w:val="20"/>
                <w:szCs w:val="20"/>
                <w:lang w:val="ru-RU"/>
              </w:rPr>
              <w:t xml:space="preserve">Обеспечение </w:t>
            </w:r>
            <w:r w:rsidR="00F33F04" w:rsidRPr="00764603">
              <w:rPr>
                <w:rFonts w:ascii="Calibri" w:hAnsi="Calibri" w:cs="Arial"/>
                <w:sz w:val="20"/>
                <w:szCs w:val="20"/>
                <w:lang w:val="ru-RU"/>
              </w:rPr>
              <w:t>со финансирования</w:t>
            </w:r>
            <w:r w:rsidRPr="00764603">
              <w:rPr>
                <w:rFonts w:ascii="Calibri" w:hAnsi="Calibri" w:cs="Arial"/>
                <w:sz w:val="20"/>
                <w:szCs w:val="20"/>
                <w:lang w:val="ru-RU"/>
              </w:rPr>
              <w:t xml:space="preserve"> по формуле 1 + 1, подтвержденное письмом-обязательством</w:t>
            </w:r>
          </w:p>
          <w:p w14:paraId="43AAE951" w14:textId="77777777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Ассоциация представлена в Интернете - управляет своей страницей в социальных сетях</w:t>
            </w:r>
          </w:p>
          <w:p w14:paraId="0EC59621" w14:textId="4B91ABB0" w:rsidR="0028386C" w:rsidRPr="009E6E23" w:rsidRDefault="0028386C" w:rsidP="00FF7E2B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ru-MD"/>
              </w:rPr>
            </w:pP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 xml:space="preserve">Опыт работы не менее </w:t>
            </w:r>
            <w:r w:rsidR="00764603">
              <w:rPr>
                <w:rFonts w:asciiTheme="minorHAnsi" w:hAnsiTheme="minorHAnsi" w:cs="Arial"/>
                <w:sz w:val="20"/>
                <w:szCs w:val="20"/>
                <w:lang w:val="ro-MD"/>
              </w:rPr>
              <w:t>12</w:t>
            </w: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 xml:space="preserve"> месяцев (подтвержденный) в проведении местной деятельности</w:t>
            </w:r>
          </w:p>
          <w:p w14:paraId="5E8FC614" w14:textId="6945A597" w:rsidR="0028386C" w:rsidRPr="00F33F04" w:rsidRDefault="0028386C" w:rsidP="00764603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  <w:lang w:val="ru-MD"/>
              </w:rPr>
            </w:pPr>
            <w:r w:rsidRPr="009E6E23">
              <w:rPr>
                <w:rFonts w:asciiTheme="minorHAnsi" w:hAnsiTheme="minorHAnsi" w:cs="Arial"/>
                <w:sz w:val="20"/>
                <w:szCs w:val="20"/>
                <w:lang w:val="ru-MD"/>
              </w:rPr>
              <w:t xml:space="preserve">Опыт управления не менее чем 1 проектом Ассоциации совместно с местными органами власти и земляками при поддержке донора (подтвержденный копией грантового договора). </w:t>
            </w:r>
          </w:p>
        </w:tc>
      </w:tr>
      <w:tr w:rsidR="0028386C" w:rsidRPr="00562B6B" w14:paraId="3D3D678B" w14:textId="77777777" w:rsidTr="0028386C">
        <w:tc>
          <w:tcPr>
            <w:tcW w:w="1469" w:type="dxa"/>
          </w:tcPr>
          <w:p w14:paraId="6B0486DA" w14:textId="77777777" w:rsidR="0028386C" w:rsidRPr="009E6E23" w:rsidRDefault="0028386C" w:rsidP="0028386C">
            <w:pPr>
              <w:rPr>
                <w:rFonts w:cs="Arial"/>
                <w:sz w:val="20"/>
                <w:szCs w:val="20"/>
                <w:lang w:val="ru-RU"/>
              </w:rPr>
            </w:pPr>
            <w:r w:rsidRPr="009E6E23">
              <w:rPr>
                <w:rFonts w:cs="Arial"/>
                <w:sz w:val="20"/>
                <w:szCs w:val="20"/>
                <w:lang w:val="ru-RU"/>
              </w:rPr>
              <w:t xml:space="preserve">Критерии оценки:  </w:t>
            </w:r>
          </w:p>
          <w:p w14:paraId="27B65BA6" w14:textId="77777777" w:rsidR="0028386C" w:rsidRPr="009E6E23" w:rsidRDefault="0028386C" w:rsidP="0028386C">
            <w:pPr>
              <w:pStyle w:val="ListParagraph"/>
              <w:ind w:left="348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  <w:tc>
          <w:tcPr>
            <w:tcW w:w="7881" w:type="dxa"/>
          </w:tcPr>
          <w:p w14:paraId="2D37DD7C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Активное партнерство с местными органами власти по внедрению местных инициатив</w:t>
            </w:r>
          </w:p>
          <w:p w14:paraId="5338AA53" w14:textId="77777777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Наличие активного сообщества мигрантов уже вовлеченного в деятельность по поддержке родного населенного пункта</w:t>
            </w:r>
          </w:p>
          <w:p w14:paraId="36B3A6E5" w14:textId="1F4280BE" w:rsidR="0028386C" w:rsidRPr="009E6E23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Вовлечение младших членов АЗ</w:t>
            </w:r>
            <w:r w:rsidR="00764603" w:rsidRPr="00F33F04">
              <w:rPr>
                <w:rFonts w:ascii="Calibri" w:hAnsi="Calibri" w:cs="Arial"/>
                <w:sz w:val="20"/>
                <w:szCs w:val="20"/>
                <w:lang w:val="ru-RU"/>
              </w:rPr>
              <w:t>/</w:t>
            </w: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 xml:space="preserve"> </w:t>
            </w:r>
            <w:r w:rsidR="00764603" w:rsidRPr="00F33F04">
              <w:rPr>
                <w:rFonts w:ascii="Calibri" w:hAnsi="Calibri" w:cs="Arial"/>
                <w:sz w:val="20"/>
                <w:szCs w:val="20"/>
                <w:lang w:val="ru-RU"/>
              </w:rPr>
              <w:t xml:space="preserve">местная молодежь и молодые уроженцы </w:t>
            </w: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в проектную деятельности.</w:t>
            </w:r>
          </w:p>
          <w:p w14:paraId="25167656" w14:textId="3D260A86" w:rsidR="0028386C" w:rsidRPr="009264A5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Деятельность по укреплению команды</w:t>
            </w:r>
            <w:r w:rsidR="009264A5" w:rsidRPr="00F33F04">
              <w:rPr>
                <w:rFonts w:ascii="Calibri" w:hAnsi="Calibri" w:cs="Arial"/>
                <w:sz w:val="20"/>
                <w:szCs w:val="20"/>
                <w:lang w:val="ru-RU"/>
              </w:rPr>
              <w:t>,</w:t>
            </w: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 xml:space="preserve"> коммуникации с членами ассоциации земляков, участвующими в проекте</w:t>
            </w:r>
            <w:r w:rsidR="009264A5" w:rsidRPr="00F33F04">
              <w:rPr>
                <w:rFonts w:ascii="Calibri" w:hAnsi="Calibri" w:cs="Arial"/>
                <w:sz w:val="20"/>
                <w:szCs w:val="20"/>
                <w:lang w:val="ru-RU"/>
              </w:rPr>
              <w:t xml:space="preserve"> и </w:t>
            </w:r>
            <w:r w:rsidR="009264A5" w:rsidRPr="009E6E23">
              <w:rPr>
                <w:rFonts w:ascii="Calibri" w:hAnsi="Calibri" w:cs="Arial"/>
                <w:sz w:val="20"/>
                <w:szCs w:val="20"/>
                <w:lang w:val="ru-RU"/>
              </w:rPr>
              <w:t>по</w:t>
            </w:r>
            <w:r w:rsidR="009264A5" w:rsidRPr="00F33F04">
              <w:rPr>
                <w:rFonts w:ascii="Calibri" w:hAnsi="Calibri" w:cs="Arial"/>
                <w:sz w:val="20"/>
                <w:szCs w:val="20"/>
                <w:lang w:val="ru-RU"/>
              </w:rPr>
              <w:t xml:space="preserve"> эффективное продвижение проекта</w:t>
            </w:r>
          </w:p>
          <w:p w14:paraId="776E7AF0" w14:textId="6AC64435" w:rsidR="009264A5" w:rsidRPr="009E6E23" w:rsidRDefault="009264A5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F33F04">
              <w:rPr>
                <w:rFonts w:ascii="Calibri" w:hAnsi="Calibri" w:cs="Arial"/>
                <w:sz w:val="20"/>
                <w:szCs w:val="20"/>
                <w:lang w:val="ru-RU"/>
              </w:rPr>
              <w:t xml:space="preserve">Комплексная поддержка диаспоры в реализации проекта, четко и подробно </w:t>
            </w:r>
            <w:r w:rsidR="00F33F04" w:rsidRPr="00F33F04">
              <w:rPr>
                <w:rFonts w:ascii="Calibri" w:hAnsi="Calibri" w:cs="Arial"/>
                <w:sz w:val="20"/>
                <w:szCs w:val="20"/>
                <w:lang w:val="ru-RU"/>
              </w:rPr>
              <w:t>описано</w:t>
            </w:r>
            <w:r w:rsidRPr="00F33F04">
              <w:rPr>
                <w:rFonts w:ascii="Calibri" w:hAnsi="Calibri" w:cs="Arial"/>
                <w:sz w:val="20"/>
                <w:szCs w:val="20"/>
                <w:lang w:val="ru-RU"/>
              </w:rPr>
              <w:t>.</w:t>
            </w:r>
          </w:p>
          <w:p w14:paraId="3C9B901A" w14:textId="77F1A127" w:rsidR="00764603" w:rsidRPr="009E6E23" w:rsidRDefault="009264A5" w:rsidP="00764603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264A5">
              <w:rPr>
                <w:rFonts w:ascii="Calibri" w:hAnsi="Calibri" w:cs="Arial"/>
                <w:sz w:val="20"/>
                <w:szCs w:val="20"/>
                <w:lang w:val="ru-RU"/>
              </w:rPr>
              <w:t>Новаторский характер и оригинальность</w:t>
            </w:r>
            <w:r w:rsidR="00764603" w:rsidRPr="009E6E23">
              <w:rPr>
                <w:rFonts w:ascii="Calibri" w:hAnsi="Calibri" w:cs="Arial"/>
                <w:sz w:val="20"/>
                <w:szCs w:val="20"/>
                <w:lang w:val="ru-RU"/>
              </w:rPr>
              <w:t xml:space="preserve"> проектной идеи</w:t>
            </w:r>
            <w:r w:rsidR="003756CF" w:rsidRPr="00F33F04">
              <w:rPr>
                <w:rFonts w:ascii="Calibri" w:hAnsi="Calibri" w:cs="Arial"/>
                <w:sz w:val="20"/>
                <w:szCs w:val="20"/>
                <w:lang w:val="ru-RU"/>
              </w:rPr>
              <w:t>.</w:t>
            </w:r>
          </w:p>
          <w:p w14:paraId="7EE59816" w14:textId="10A4C4CB" w:rsidR="0028386C" w:rsidRDefault="0028386C" w:rsidP="0028386C">
            <w:pPr>
              <w:pStyle w:val="ListParagraph"/>
              <w:numPr>
                <w:ilvl w:val="0"/>
                <w:numId w:val="3"/>
              </w:numPr>
              <w:ind w:left="348" w:hanging="283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E6E23">
              <w:rPr>
                <w:rFonts w:ascii="Calibri" w:hAnsi="Calibri" w:cs="Arial"/>
                <w:sz w:val="20"/>
                <w:szCs w:val="20"/>
                <w:lang w:val="ru-RU"/>
              </w:rPr>
              <w:t>Наличие долгосрочного видения, которое приведет к созданию устойчивого партнерства между местными органами власти, жителями данного населенного пункта и земляками, проживающими за рубежом, выработанного при содействии ассоциации земляков.</w:t>
            </w:r>
          </w:p>
          <w:p w14:paraId="578FA86E" w14:textId="77777777" w:rsidR="0028386C" w:rsidRPr="007B21ED" w:rsidRDefault="0028386C" w:rsidP="0028386C">
            <w:pPr>
              <w:pStyle w:val="ListParagraph"/>
              <w:ind w:left="348"/>
              <w:contextualSpacing w:val="0"/>
              <w:jc w:val="both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</w:tr>
    </w:tbl>
    <w:p w14:paraId="1EA713A7" w14:textId="77777777" w:rsidR="000A331B" w:rsidRPr="007B21ED" w:rsidRDefault="00562B6B" w:rsidP="000A331B">
      <w:pPr>
        <w:spacing w:after="0" w:line="240" w:lineRule="auto"/>
        <w:rPr>
          <w:rFonts w:cs="Arial"/>
          <w:sz w:val="20"/>
          <w:szCs w:val="20"/>
          <w:lang w:val="ru-RU"/>
        </w:rPr>
      </w:pPr>
    </w:p>
    <w:p w14:paraId="68C10CF1" w14:textId="77777777" w:rsidR="0028386C" w:rsidRPr="009E6E23" w:rsidRDefault="0028386C" w:rsidP="0028386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9E6E23">
        <w:rPr>
          <w:rFonts w:asciiTheme="minorHAnsi" w:hAnsiTheme="minorHAnsi" w:cstheme="minorHAnsi"/>
          <w:sz w:val="20"/>
          <w:szCs w:val="20"/>
          <w:lang w:val="ro-RO"/>
        </w:rPr>
        <w:lastRenderedPageBreak/>
        <w:t>Заявки, которые будут соответствовать минимальным критериям</w:t>
      </w:r>
      <w:r w:rsidRPr="009E6E23">
        <w:rPr>
          <w:rFonts w:asciiTheme="minorHAnsi" w:hAnsiTheme="minorHAnsi" w:cstheme="minorHAnsi"/>
          <w:sz w:val="20"/>
          <w:szCs w:val="20"/>
          <w:lang w:val="ru-RU"/>
        </w:rPr>
        <w:t xml:space="preserve"> отбора</w:t>
      </w:r>
      <w:r w:rsidRPr="009E6E23">
        <w:rPr>
          <w:rFonts w:asciiTheme="minorHAnsi" w:hAnsiTheme="minorHAnsi" w:cstheme="minorHAnsi"/>
          <w:sz w:val="20"/>
          <w:szCs w:val="20"/>
          <w:lang w:val="ro-RO"/>
        </w:rPr>
        <w:t xml:space="preserve">, будут оцениваться командой проекта ПРООН / MiDL. Окончательный список бенефициаров </w:t>
      </w:r>
      <w:r w:rsidRPr="009E6E23">
        <w:rPr>
          <w:rFonts w:cs="Arial"/>
          <w:sz w:val="20"/>
          <w:szCs w:val="20"/>
          <w:lang w:val="ru-RU"/>
        </w:rPr>
        <w:t>АЗ (Ассоциации Земляков)</w:t>
      </w:r>
      <w:r w:rsidRPr="009E6E23">
        <w:rPr>
          <w:rFonts w:asciiTheme="minorHAnsi" w:hAnsiTheme="minorHAnsi" w:cstheme="minorHAnsi"/>
          <w:sz w:val="20"/>
          <w:szCs w:val="20"/>
          <w:lang w:val="ro-RO"/>
        </w:rPr>
        <w:t xml:space="preserve"> будет утвержден Координационным Советом Проекта.</w:t>
      </w:r>
    </w:p>
    <w:p w14:paraId="2C2CD0DC" w14:textId="77777777" w:rsidR="000A331B" w:rsidRPr="0028386C" w:rsidRDefault="00562B6B" w:rsidP="000A331B">
      <w:pPr>
        <w:spacing w:after="0" w:line="240" w:lineRule="auto"/>
        <w:jc w:val="both"/>
        <w:rPr>
          <w:rFonts w:ascii="Myriad Pro" w:hAnsi="Myriad Pro" w:cs="Arial"/>
          <w:lang w:val="ro-RO"/>
        </w:rPr>
      </w:pPr>
    </w:p>
    <w:p w14:paraId="4E55570C" w14:textId="77777777" w:rsidR="000A331B" w:rsidRPr="00A01F9A" w:rsidRDefault="00A01F9A" w:rsidP="000A331B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0"/>
          <w:szCs w:val="20"/>
          <w:u w:val="single"/>
          <w:lang w:val="ru-RU"/>
        </w:rPr>
      </w:pPr>
      <w:r w:rsidRPr="005F4DB1">
        <w:rPr>
          <w:rFonts w:ascii="Calibri" w:eastAsia="Calibri" w:hAnsi="Calibri"/>
          <w:b/>
          <w:bCs/>
          <w:sz w:val="20"/>
          <w:szCs w:val="20"/>
          <w:u w:val="single"/>
          <w:lang w:val="ru-RU"/>
        </w:rPr>
        <w:t>Продолжительность и использование финансовых ресурсов</w:t>
      </w:r>
    </w:p>
    <w:p w14:paraId="3AF93A02" w14:textId="77777777" w:rsidR="000A331B" w:rsidRPr="00A01F9A" w:rsidRDefault="00562B6B" w:rsidP="000A331B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  <w:b/>
          <w:sz w:val="20"/>
          <w:szCs w:val="20"/>
          <w:u w:val="single"/>
          <w:lang w:val="ru-RU"/>
        </w:rPr>
      </w:pPr>
    </w:p>
    <w:p w14:paraId="560351BC" w14:textId="35E83FD9" w:rsidR="0028386C" w:rsidRPr="009E6E23" w:rsidRDefault="0028386C" w:rsidP="0028386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  <w:lang w:val="ru-RU"/>
        </w:rPr>
      </w:pPr>
      <w:bookmarkStart w:id="3" w:name="_Hlk3914726"/>
      <w:r w:rsidRPr="009E6E23">
        <w:rPr>
          <w:rFonts w:asciiTheme="minorHAnsi" w:hAnsiTheme="minorHAnsi" w:cstheme="minorHAnsi"/>
          <w:sz w:val="20"/>
          <w:szCs w:val="20"/>
          <w:lang w:val="ru-RU"/>
        </w:rPr>
        <w:t>Продолжительность проекта будет определяться заявителями начиная с Июня 202</w:t>
      </w:r>
      <w:r w:rsidR="00F33F04">
        <w:rPr>
          <w:rFonts w:asciiTheme="minorHAnsi" w:hAnsiTheme="minorHAnsi" w:cstheme="minorHAnsi"/>
          <w:sz w:val="20"/>
          <w:szCs w:val="20"/>
          <w:lang w:val="ru-RU"/>
        </w:rPr>
        <w:t>1</w:t>
      </w:r>
      <w:r w:rsidRPr="009E6E23">
        <w:rPr>
          <w:rFonts w:asciiTheme="minorHAnsi" w:hAnsiTheme="minorHAnsi" w:cstheme="minorHAnsi"/>
          <w:sz w:val="20"/>
          <w:szCs w:val="20"/>
          <w:lang w:val="ru-RU"/>
        </w:rPr>
        <w:t xml:space="preserve"> при условии, что финансовые ресурсы, полученные от ПРООН / "Миграция и местное развитие", будут использованы и по ним будет представлена отчетность до 30 </w:t>
      </w:r>
      <w:r w:rsidR="00F33F04">
        <w:rPr>
          <w:rFonts w:asciiTheme="minorHAnsi" w:hAnsiTheme="minorHAnsi" w:cstheme="minorHAnsi"/>
          <w:sz w:val="20"/>
          <w:szCs w:val="20"/>
          <w:lang w:val="ru-RU"/>
        </w:rPr>
        <w:t>янва</w:t>
      </w:r>
      <w:r w:rsidRPr="009E6E23">
        <w:rPr>
          <w:rFonts w:asciiTheme="minorHAnsi" w:hAnsiTheme="minorHAnsi" w:cstheme="minorHAnsi"/>
          <w:sz w:val="20"/>
          <w:szCs w:val="20"/>
          <w:lang w:val="ru-RU"/>
        </w:rPr>
        <w:t>ря 202</w:t>
      </w:r>
      <w:r w:rsidR="00F33F04">
        <w:rPr>
          <w:rFonts w:asciiTheme="minorHAnsi" w:hAnsiTheme="minorHAnsi" w:cstheme="minorHAnsi"/>
          <w:sz w:val="20"/>
          <w:szCs w:val="20"/>
          <w:lang w:val="ru-RU"/>
        </w:rPr>
        <w:t>2</w:t>
      </w:r>
      <w:r w:rsidRPr="009E6E23">
        <w:rPr>
          <w:rFonts w:asciiTheme="minorHAnsi" w:hAnsiTheme="minorHAnsi" w:cstheme="minorHAnsi"/>
          <w:sz w:val="20"/>
          <w:szCs w:val="20"/>
          <w:lang w:val="ru-RU"/>
        </w:rPr>
        <w:t xml:space="preserve"> года. </w:t>
      </w:r>
    </w:p>
    <w:bookmarkEnd w:id="3"/>
    <w:p w14:paraId="7250AF69" w14:textId="77777777" w:rsidR="000A331B" w:rsidRPr="00A01F9A" w:rsidRDefault="00562B6B" w:rsidP="000A331B">
      <w:pPr>
        <w:spacing w:after="0" w:line="240" w:lineRule="auto"/>
        <w:jc w:val="both"/>
        <w:rPr>
          <w:rFonts w:ascii="Myriad Pro" w:hAnsi="Myriad Pro" w:cs="Arial"/>
          <w:lang w:val="ru-RU"/>
        </w:rPr>
      </w:pPr>
    </w:p>
    <w:p w14:paraId="1C664622" w14:textId="77777777" w:rsidR="000A331B" w:rsidRPr="00A01F9A" w:rsidRDefault="00A01F9A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  <w:r>
        <w:rPr>
          <w:b/>
          <w:sz w:val="20"/>
          <w:szCs w:val="20"/>
          <w:u w:val="single"/>
          <w:lang w:val="ru-RU"/>
        </w:rPr>
        <w:t>Дополнительная информация:</w:t>
      </w:r>
    </w:p>
    <w:p w14:paraId="1A9D4AEA" w14:textId="77777777" w:rsidR="000A331B" w:rsidRPr="00A01F9A" w:rsidRDefault="00562B6B" w:rsidP="000A331B">
      <w:pPr>
        <w:spacing w:after="0" w:line="240" w:lineRule="auto"/>
        <w:jc w:val="both"/>
        <w:rPr>
          <w:b/>
          <w:sz w:val="20"/>
          <w:szCs w:val="20"/>
          <w:u w:val="single"/>
          <w:lang w:val="ru-RU"/>
        </w:rPr>
      </w:pPr>
    </w:p>
    <w:p w14:paraId="1F4FAE34" w14:textId="77777777" w:rsidR="000A331B" w:rsidRPr="009E6E23" w:rsidRDefault="00A01F9A" w:rsidP="000A331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9E6E23">
        <w:rPr>
          <w:rFonts w:asciiTheme="minorHAnsi" w:hAnsiTheme="minorHAnsi" w:cstheme="minorHAnsi"/>
          <w:sz w:val="20"/>
          <w:szCs w:val="20"/>
          <w:lang w:val="ru-RU"/>
        </w:rPr>
        <w:t>Дополнительную информацию можно получить, обратившись к следующим сотрудникам проекта "Миграция и местное развитие":</w:t>
      </w:r>
    </w:p>
    <w:p w14:paraId="3A206AF9" w14:textId="794502E5" w:rsidR="000A331B" w:rsidRPr="009E6E23" w:rsidRDefault="00A01F9A" w:rsidP="000A331B">
      <w:pPr>
        <w:pStyle w:val="ListParagraph"/>
        <w:numPr>
          <w:ilvl w:val="0"/>
          <w:numId w:val="3"/>
        </w:numPr>
        <w:spacing w:before="120"/>
        <w:ind w:left="714" w:hanging="357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Виктория Иванчогло, </w:t>
      </w:r>
      <w:hyperlink r:id="rId10" w:history="1">
        <w:r w:rsidRPr="009E6E23">
          <w:rPr>
            <w:rStyle w:val="Hyperlink"/>
            <w:rFonts w:asciiTheme="minorHAnsi" w:eastAsia="Calibri" w:hAnsiTheme="minorHAnsi" w:cstheme="minorHAnsi"/>
            <w:sz w:val="20"/>
            <w:szCs w:val="20"/>
            <w:lang w:val="ru-RU"/>
          </w:rPr>
          <w:t>victoria.ivancioglo@undp.org,</w:t>
        </w:r>
      </w:hyperlink>
      <w:r w:rsidRPr="009E6E23">
        <w:rPr>
          <w:rFonts w:asciiTheme="minorHAnsi" w:eastAsia="Calibri" w:hAnsiTheme="minorHAnsi" w:cstheme="minorHAnsi"/>
          <w:sz w:val="20"/>
          <w:szCs w:val="20"/>
          <w:lang w:val="ru-RU"/>
        </w:rPr>
        <w:t xml:space="preserve"> 060907790</w:t>
      </w:r>
    </w:p>
    <w:p w14:paraId="08B4A0E9" w14:textId="77777777" w:rsidR="000A331B" w:rsidRDefault="00562B6B" w:rsidP="000A331B">
      <w:pPr>
        <w:pStyle w:val="ListParagraph"/>
        <w:spacing w:before="120"/>
        <w:ind w:left="714"/>
        <w:jc w:val="both"/>
        <w:rPr>
          <w:rFonts w:asciiTheme="minorHAnsi" w:eastAsia="Calibri" w:hAnsiTheme="minorHAnsi" w:cstheme="minorHAnsi"/>
          <w:sz w:val="20"/>
          <w:szCs w:val="20"/>
          <w:lang w:val="ro-RO"/>
        </w:rPr>
      </w:pPr>
    </w:p>
    <w:p w14:paraId="45A45A44" w14:textId="23B9670B" w:rsidR="005D1F75" w:rsidRPr="000A331B" w:rsidRDefault="0028386C" w:rsidP="009E6E23">
      <w:pPr>
        <w:rPr>
          <w:lang w:val="ro-RO"/>
        </w:rPr>
      </w:pPr>
      <w:r w:rsidRPr="00B33239">
        <w:rPr>
          <w:rFonts w:asciiTheme="minorHAnsi" w:hAnsiTheme="minorHAnsi" w:cstheme="minorHAnsi"/>
          <w:sz w:val="20"/>
          <w:szCs w:val="20"/>
          <w:lang w:val="ru-RU"/>
        </w:rPr>
        <w:t xml:space="preserve">Вопросы, касающиеся данного конкурса грантов, могут быть направлены на адрес электронной почты </w:t>
      </w:r>
      <w:hyperlink r:id="rId11" w:history="1">
        <w:r w:rsidR="003079E1">
          <w:t>v</w:t>
        </w:r>
        <w:r w:rsidRPr="00B33239">
          <w:rPr>
            <w:rFonts w:asciiTheme="minorHAnsi" w:hAnsiTheme="minorHAnsi" w:cstheme="minorHAnsi"/>
            <w:sz w:val="20"/>
            <w:szCs w:val="20"/>
            <w:lang w:val="ru-RU"/>
          </w:rPr>
          <w:t>ictoria.ivancioglo@undp.org</w:t>
        </w:r>
        <w:r w:rsidR="003079E1" w:rsidRPr="003079E1">
          <w:rPr>
            <w:rFonts w:asciiTheme="minorHAnsi" w:hAnsiTheme="minorHAnsi" w:cstheme="minorHAnsi"/>
            <w:sz w:val="20"/>
            <w:szCs w:val="20"/>
            <w:lang w:val="ru-RU"/>
          </w:rPr>
          <w:t xml:space="preserve"> </w:t>
        </w:r>
      </w:hyperlink>
      <w:r w:rsidRPr="00B33239">
        <w:rPr>
          <w:rFonts w:asciiTheme="minorHAnsi" w:hAnsiTheme="minorHAnsi" w:cstheme="minorHAnsi"/>
          <w:sz w:val="20"/>
          <w:szCs w:val="20"/>
          <w:lang w:val="ru-RU"/>
        </w:rPr>
        <w:t>с темой "Вопросы относительно конкурса грантов "Акселератор ассоциаций земляков"</w:t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t xml:space="preserve"> </w:t>
      </w:r>
      <w:r w:rsidRPr="00393052">
        <w:rPr>
          <w:rFonts w:asciiTheme="minorHAnsi" w:hAnsiTheme="minorHAnsi" w:cstheme="minorHAnsi"/>
          <w:sz w:val="20"/>
          <w:szCs w:val="20"/>
          <w:lang w:val="ru-RU"/>
        </w:rPr>
        <w:t xml:space="preserve">до </w:t>
      </w:r>
      <w:r w:rsidR="00393052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15</w:t>
      </w:r>
      <w:r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.03.202</w:t>
      </w:r>
      <w:r w:rsidR="00F33F04"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1</w:t>
      </w:r>
      <w:r w:rsidRPr="00393052">
        <w:rPr>
          <w:rFonts w:asciiTheme="minorHAnsi" w:hAnsiTheme="minorHAnsi" w:cstheme="minorHAnsi"/>
          <w:b/>
          <w:bCs/>
          <w:sz w:val="20"/>
          <w:szCs w:val="20"/>
          <w:lang w:val="ru-RU"/>
        </w:rPr>
        <w:t>.</w:t>
      </w:r>
      <w:r w:rsidRPr="00393052">
        <w:rPr>
          <w:rFonts w:asciiTheme="minorHAnsi" w:hAnsiTheme="minorHAnsi" w:cstheme="minorHAnsi"/>
          <w:b/>
          <w:bCs/>
          <w:color w:val="FF0000"/>
          <w:sz w:val="20"/>
          <w:szCs w:val="20"/>
          <w:lang w:val="ru-RU"/>
        </w:rPr>
        <w:br/>
      </w:r>
      <w:r w:rsidRPr="00B33239">
        <w:rPr>
          <w:rFonts w:asciiTheme="minorHAnsi" w:hAnsiTheme="minorHAnsi" w:cstheme="minorHAnsi"/>
          <w:color w:val="FF0000"/>
          <w:sz w:val="20"/>
          <w:szCs w:val="20"/>
          <w:lang w:val="ru-RU"/>
        </w:rPr>
        <w:br/>
      </w:r>
    </w:p>
    <w:sectPr w:rsidR="005D1F75" w:rsidRPr="000A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56F370B2"/>
    <w:multiLevelType w:val="hybridMultilevel"/>
    <w:tmpl w:val="5E6E3A5A"/>
    <w:lvl w:ilvl="0" w:tplc="B20AD9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E0E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6A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A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02F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62B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C7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4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44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6DE"/>
    <w:multiLevelType w:val="hybridMultilevel"/>
    <w:tmpl w:val="A36AB89A"/>
    <w:lvl w:ilvl="0" w:tplc="3AB0EE9A">
      <w:start w:val="1"/>
      <w:numFmt w:val="decimal"/>
      <w:lvlText w:val="%1."/>
      <w:lvlJc w:val="left"/>
      <w:pPr>
        <w:ind w:left="720" w:hanging="360"/>
      </w:pPr>
    </w:lvl>
    <w:lvl w:ilvl="1" w:tplc="0C28BD96">
      <w:start w:val="1"/>
      <w:numFmt w:val="lowerLetter"/>
      <w:lvlText w:val="%2."/>
      <w:lvlJc w:val="left"/>
      <w:pPr>
        <w:ind w:left="1440" w:hanging="360"/>
      </w:pPr>
    </w:lvl>
    <w:lvl w:ilvl="2" w:tplc="A2E48E50">
      <w:start w:val="1"/>
      <w:numFmt w:val="lowerRoman"/>
      <w:lvlText w:val="%3."/>
      <w:lvlJc w:val="right"/>
      <w:pPr>
        <w:ind w:left="2160" w:hanging="180"/>
      </w:pPr>
    </w:lvl>
    <w:lvl w:ilvl="3" w:tplc="F5321ADC">
      <w:start w:val="1"/>
      <w:numFmt w:val="decimal"/>
      <w:lvlText w:val="%4."/>
      <w:lvlJc w:val="left"/>
      <w:pPr>
        <w:ind w:left="2880" w:hanging="360"/>
      </w:pPr>
    </w:lvl>
    <w:lvl w:ilvl="4" w:tplc="C5D4D2A8">
      <w:start w:val="1"/>
      <w:numFmt w:val="lowerLetter"/>
      <w:lvlText w:val="%5."/>
      <w:lvlJc w:val="left"/>
      <w:pPr>
        <w:ind w:left="3600" w:hanging="360"/>
      </w:pPr>
    </w:lvl>
    <w:lvl w:ilvl="5" w:tplc="1B329676">
      <w:start w:val="1"/>
      <w:numFmt w:val="lowerRoman"/>
      <w:lvlText w:val="%6."/>
      <w:lvlJc w:val="right"/>
      <w:pPr>
        <w:ind w:left="4320" w:hanging="180"/>
      </w:pPr>
    </w:lvl>
    <w:lvl w:ilvl="6" w:tplc="91B07628">
      <w:start w:val="1"/>
      <w:numFmt w:val="decimal"/>
      <w:lvlText w:val="%7."/>
      <w:lvlJc w:val="left"/>
      <w:pPr>
        <w:ind w:left="5040" w:hanging="360"/>
      </w:pPr>
    </w:lvl>
    <w:lvl w:ilvl="7" w:tplc="602E5F00">
      <w:start w:val="1"/>
      <w:numFmt w:val="lowerLetter"/>
      <w:lvlText w:val="%8."/>
      <w:lvlJc w:val="left"/>
      <w:pPr>
        <w:ind w:left="5760" w:hanging="360"/>
      </w:pPr>
    </w:lvl>
    <w:lvl w:ilvl="8" w:tplc="FC9207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0D"/>
    <w:rsid w:val="00146151"/>
    <w:rsid w:val="0028386C"/>
    <w:rsid w:val="003079E1"/>
    <w:rsid w:val="003756CF"/>
    <w:rsid w:val="00393052"/>
    <w:rsid w:val="00562B6B"/>
    <w:rsid w:val="005962CD"/>
    <w:rsid w:val="00764603"/>
    <w:rsid w:val="007B21ED"/>
    <w:rsid w:val="009264A5"/>
    <w:rsid w:val="009E6E23"/>
    <w:rsid w:val="00A01F9A"/>
    <w:rsid w:val="00A507D9"/>
    <w:rsid w:val="00CA6D0D"/>
    <w:rsid w:val="00D21606"/>
    <w:rsid w:val="00EF7395"/>
    <w:rsid w:val="00F3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A20F"/>
  <w15:docId w15:val="{6D031BE3-BFB0-461C-975F-715EFE13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1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A331B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331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A331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331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331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331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0A331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0A331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0A331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331B"/>
    <w:rPr>
      <w:rFonts w:ascii="Calibri" w:eastAsia="MS Mincho" w:hAnsi="Calibri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semiHidden/>
    <w:rsid w:val="000A331B"/>
    <w:rPr>
      <w:rFonts w:ascii="Calibri" w:eastAsia="MS Mincho" w:hAnsi="Calibri" w:cs="Times New Roman"/>
      <w:b/>
      <w:bCs/>
      <w:i/>
      <w:iCs/>
      <w:sz w:val="28"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semiHidden/>
    <w:rsid w:val="000A331B"/>
    <w:rPr>
      <w:rFonts w:ascii="Calibri" w:eastAsia="MS Mincho" w:hAnsi="Calibri" w:cs="Times New Roman"/>
      <w:b/>
      <w:bCs/>
      <w:color w:val="00B050"/>
      <w:sz w:val="24"/>
      <w:lang w:eastAsia="lv-LV"/>
    </w:rPr>
  </w:style>
  <w:style w:type="character" w:customStyle="1" w:styleId="Heading4Char">
    <w:name w:val="Heading 4 Char"/>
    <w:basedOn w:val="DefaultParagraphFont"/>
    <w:link w:val="Heading4"/>
    <w:semiHidden/>
    <w:rsid w:val="000A331B"/>
    <w:rPr>
      <w:rFonts w:ascii="Cambria" w:eastAsia="MS Mincho" w:hAnsi="Cambria" w:cs="Times New Roman"/>
      <w:b/>
      <w:bCs/>
      <w:i/>
      <w:iCs/>
      <w:color w:val="4F81BD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semiHidden/>
    <w:rsid w:val="000A331B"/>
    <w:rPr>
      <w:rFonts w:ascii="Cambria" w:eastAsia="MS Mincho" w:hAnsi="Cambria" w:cs="Times New Roman"/>
      <w:color w:val="243F60"/>
      <w:sz w:val="24"/>
      <w:szCs w:val="24"/>
      <w:lang w:eastAsia="lv-LV"/>
    </w:rPr>
  </w:style>
  <w:style w:type="character" w:customStyle="1" w:styleId="Heading6Char">
    <w:name w:val="Heading 6 Char"/>
    <w:basedOn w:val="DefaultParagraphFont"/>
    <w:link w:val="Heading6"/>
    <w:semiHidden/>
    <w:rsid w:val="000A331B"/>
    <w:rPr>
      <w:rFonts w:ascii="Cambria" w:eastAsia="MS Mincho" w:hAnsi="Cambria" w:cs="Times New Roman"/>
      <w:i/>
      <w:iCs/>
      <w:color w:val="243F60"/>
      <w:sz w:val="24"/>
      <w:szCs w:val="24"/>
      <w:lang w:eastAsia="lv-LV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0A331B"/>
    <w:rPr>
      <w:rFonts w:ascii="Cambria" w:eastAsia="MS Mincho" w:hAnsi="Cambria" w:cs="Times New Roman"/>
      <w:i/>
      <w:iCs/>
      <w:color w:val="404040"/>
      <w:sz w:val="24"/>
      <w:szCs w:val="24"/>
      <w:lang w:eastAsia="lv-LV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0A331B"/>
    <w:rPr>
      <w:rFonts w:ascii="Cambria" w:eastAsia="MS Mincho" w:hAnsi="Cambria" w:cs="Times New Roman"/>
      <w:color w:val="404040"/>
      <w:sz w:val="20"/>
      <w:szCs w:val="20"/>
      <w:lang w:eastAsia="lv-LV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A331B"/>
    <w:rPr>
      <w:rFonts w:ascii="Cambria" w:eastAsia="MS Mincho" w:hAnsi="Cambria" w:cs="Times New Roman"/>
      <w:i/>
      <w:iCs/>
      <w:color w:val="404040"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0A331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3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A33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0A3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0A33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E7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4BC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21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606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838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Victoria.ivancioglo@undp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ictoria.ivancioglo@undp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ctoria.ivancioglo@u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Ivancioglo</dc:creator>
  <cp:lastModifiedBy>Natalia Suschevici</cp:lastModifiedBy>
  <cp:revision>24</cp:revision>
  <dcterms:created xsi:type="dcterms:W3CDTF">2019-03-19T15:46:00Z</dcterms:created>
  <dcterms:modified xsi:type="dcterms:W3CDTF">2021-02-08T15:01:00Z</dcterms:modified>
</cp:coreProperties>
</file>