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91B0" w14:textId="43089F42" w:rsidR="00297AB9" w:rsidRDefault="00297AB9" w:rsidP="00297AB9">
      <w:pPr>
        <w:rPr>
          <w:rFonts w:cstheme="minorHAnsi"/>
          <w:b/>
          <w:sz w:val="24"/>
          <w:szCs w:val="24"/>
        </w:rPr>
      </w:pPr>
      <w:r w:rsidRPr="00725DC3">
        <w:rPr>
          <w:rFonts w:cstheme="minorHAnsi"/>
          <w:b/>
          <w:sz w:val="24"/>
          <w:szCs w:val="24"/>
        </w:rPr>
        <w:t xml:space="preserve">ANNEX </w:t>
      </w:r>
      <w:r w:rsidR="00C50D97">
        <w:rPr>
          <w:rFonts w:cstheme="minorHAnsi"/>
          <w:b/>
          <w:sz w:val="24"/>
          <w:szCs w:val="24"/>
        </w:rPr>
        <w:t>4</w:t>
      </w:r>
      <w:r w:rsidRPr="00725DC3">
        <w:rPr>
          <w:rFonts w:cstheme="minorHAnsi"/>
          <w:b/>
          <w:sz w:val="24"/>
          <w:szCs w:val="24"/>
        </w:rPr>
        <w:t>:</w:t>
      </w:r>
      <w:r w:rsidR="004204FC">
        <w:rPr>
          <w:rFonts w:cstheme="minorHAnsi"/>
          <w:b/>
          <w:sz w:val="24"/>
          <w:szCs w:val="24"/>
        </w:rPr>
        <w:t xml:space="preserve"> </w:t>
      </w:r>
      <w:r w:rsidR="001E3F46">
        <w:rPr>
          <w:rFonts w:cstheme="minorHAnsi"/>
          <w:b/>
          <w:sz w:val="24"/>
          <w:szCs w:val="24"/>
        </w:rPr>
        <w:t xml:space="preserve">TECHNICAL RESPONSIVENESS TABLE </w:t>
      </w:r>
    </w:p>
    <w:p w14:paraId="746E7771" w14:textId="00E22384" w:rsidR="001E3F46" w:rsidRDefault="001E3F46" w:rsidP="001E3F46">
      <w:pPr>
        <w:spacing w:after="120"/>
        <w:rPr>
          <w:rFonts w:cstheme="minorHAnsi"/>
          <w:i/>
          <w:sz w:val="20"/>
          <w:szCs w:val="20"/>
        </w:rPr>
      </w:pPr>
      <w:r w:rsidRPr="00525B2D">
        <w:rPr>
          <w:rFonts w:cstheme="minorHAnsi"/>
          <w:i/>
          <w:sz w:val="20"/>
          <w:szCs w:val="20"/>
        </w:rPr>
        <w:t>Bidders are requested to complete this form, sign it and return it as part of their quotation along with</w:t>
      </w:r>
      <w:r w:rsidR="00C50D97">
        <w:rPr>
          <w:rFonts w:cstheme="minorHAnsi"/>
          <w:i/>
          <w:sz w:val="20"/>
          <w:szCs w:val="20"/>
        </w:rPr>
        <w:t xml:space="preserve"> Annex 2: Quotation Submission Form, Annex 3: Financial Offer and</w:t>
      </w:r>
      <w:r w:rsidRPr="00525B2D">
        <w:rPr>
          <w:rFonts w:cstheme="minorHAnsi"/>
          <w:i/>
          <w:sz w:val="20"/>
          <w:szCs w:val="20"/>
        </w:rPr>
        <w:t xml:space="preserve"> </w:t>
      </w:r>
      <w:r w:rsidR="00C933E3">
        <w:rPr>
          <w:rFonts w:cstheme="minorHAnsi"/>
          <w:i/>
          <w:sz w:val="20"/>
          <w:szCs w:val="20"/>
        </w:rPr>
        <w:t>other documents</w:t>
      </w:r>
      <w:r>
        <w:rPr>
          <w:rFonts w:cstheme="minorHAnsi"/>
          <w:i/>
          <w:sz w:val="20"/>
          <w:szCs w:val="20"/>
        </w:rPr>
        <w:t xml:space="preserve"> (including </w:t>
      </w:r>
      <w:r w:rsidR="00E0565C">
        <w:rPr>
          <w:rFonts w:cstheme="minorHAnsi"/>
          <w:i/>
          <w:sz w:val="20"/>
          <w:szCs w:val="20"/>
        </w:rPr>
        <w:t xml:space="preserve">detailed </w:t>
      </w:r>
      <w:r w:rsidRPr="001E3F46">
        <w:rPr>
          <w:rFonts w:cstheme="minorHAnsi"/>
          <w:i/>
          <w:sz w:val="20"/>
          <w:szCs w:val="20"/>
        </w:rPr>
        <w:t xml:space="preserve">description of </w:t>
      </w:r>
      <w:r>
        <w:rPr>
          <w:rFonts w:cstheme="minorHAnsi"/>
          <w:i/>
          <w:sz w:val="20"/>
          <w:szCs w:val="20"/>
        </w:rPr>
        <w:t>Bidder</w:t>
      </w:r>
      <w:r w:rsidRPr="001E3F46">
        <w:rPr>
          <w:rFonts w:cstheme="minorHAnsi"/>
          <w:i/>
          <w:sz w:val="20"/>
          <w:szCs w:val="20"/>
        </w:rPr>
        <w:t xml:space="preserve"> qualification and capacity that is relevant to the Terms of Reference;</w:t>
      </w:r>
      <w:r>
        <w:rPr>
          <w:rFonts w:cstheme="minorHAnsi"/>
          <w:i/>
          <w:sz w:val="20"/>
          <w:szCs w:val="20"/>
        </w:rPr>
        <w:t xml:space="preserve"> </w:t>
      </w:r>
      <w:r w:rsidRPr="001E3F46">
        <w:rPr>
          <w:rFonts w:cstheme="minorHAnsi"/>
          <w:i/>
          <w:sz w:val="20"/>
          <w:szCs w:val="20"/>
        </w:rPr>
        <w:t xml:space="preserve">brief methodology, approach and implementation plan; </w:t>
      </w:r>
      <w:r w:rsidR="00805257" w:rsidRPr="00805257">
        <w:rPr>
          <w:rFonts w:cstheme="minorHAnsi"/>
          <w:i/>
          <w:sz w:val="20"/>
          <w:szCs w:val="20"/>
        </w:rPr>
        <w:t xml:space="preserve"> detailed technical description of the proposed equipment and offered services (including details on the installation materials and the proposed smart metering system) </w:t>
      </w:r>
      <w:r>
        <w:rPr>
          <w:rFonts w:cstheme="minorHAnsi"/>
          <w:i/>
          <w:sz w:val="20"/>
          <w:szCs w:val="20"/>
        </w:rPr>
        <w:t xml:space="preserve">and </w:t>
      </w:r>
      <w:r w:rsidRPr="001E3F46">
        <w:rPr>
          <w:rFonts w:cstheme="minorHAnsi"/>
          <w:i/>
          <w:sz w:val="20"/>
          <w:szCs w:val="20"/>
        </w:rPr>
        <w:t>team composition and CVs of key personnel</w:t>
      </w:r>
      <w:r>
        <w:rPr>
          <w:rFonts w:cstheme="minorHAnsi"/>
          <w:i/>
          <w:sz w:val="20"/>
          <w:szCs w:val="20"/>
        </w:rPr>
        <w:t>)</w:t>
      </w:r>
      <w:r w:rsidRPr="00525B2D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p w14:paraId="5842500B" w14:textId="77777777" w:rsidR="00F03B38" w:rsidRPr="00525B2D" w:rsidRDefault="00F03B38" w:rsidP="001E3F46">
      <w:pPr>
        <w:spacing w:after="120"/>
        <w:rPr>
          <w:rFonts w:cstheme="minorHAnsi"/>
          <w:i/>
          <w:sz w:val="20"/>
          <w:szCs w:val="20"/>
        </w:rPr>
      </w:pPr>
    </w:p>
    <w:tbl>
      <w:tblPr>
        <w:tblW w:w="14603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8938"/>
        <w:gridCol w:w="3686"/>
      </w:tblGrid>
      <w:tr w:rsidR="001E3F46" w:rsidRPr="00DC17EA" w14:paraId="572285E4" w14:textId="77777777" w:rsidTr="001E3F46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56A68D66" w14:textId="77777777" w:rsidR="001E3F46" w:rsidRPr="00525B2D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25B2D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showingPlcHdr/>
            <w:text/>
          </w:sdtPr>
          <w:sdtEndPr/>
          <w:sdtContent>
            <w:tc>
              <w:tcPr>
                <w:tcW w:w="12624" w:type="dxa"/>
                <w:gridSpan w:val="2"/>
                <w:shd w:val="clear" w:color="auto" w:fill="auto"/>
                <w:vAlign w:val="center"/>
              </w:tcPr>
              <w:p w14:paraId="4E8B755E" w14:textId="77777777" w:rsidR="001E3F46" w:rsidRPr="00525B2D" w:rsidRDefault="001E3F46" w:rsidP="00250FC9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25B2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E3F46" w:rsidRPr="00DC17EA" w14:paraId="2E531033" w14:textId="77777777" w:rsidTr="001E3F46">
        <w:trPr>
          <w:trHeight w:val="360"/>
        </w:trPr>
        <w:tc>
          <w:tcPr>
            <w:tcW w:w="1979" w:type="dxa"/>
            <w:shd w:val="clear" w:color="auto" w:fill="auto"/>
          </w:tcPr>
          <w:p w14:paraId="62776780" w14:textId="77777777" w:rsidR="001E3F46" w:rsidRPr="00525B2D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25B2D">
              <w:rPr>
                <w:rFonts w:cstheme="minorHAnsi"/>
                <w:iCs/>
                <w:sz w:val="20"/>
                <w:szCs w:val="20"/>
              </w:rPr>
              <w:t>RFQ reference: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38" w:type="dxa"/>
            <w:shd w:val="clear" w:color="auto" w:fill="auto"/>
            <w:vAlign w:val="center"/>
          </w:tcPr>
          <w:p w14:paraId="19CA7404" w14:textId="77777777" w:rsidR="001E3F46" w:rsidRPr="00DC17EA" w:rsidRDefault="0093301D" w:rsidP="00250FC9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  <w:sdt>
              <w:sdtPr>
                <w:id w:val="-1153838726"/>
                <w:text/>
              </w:sdtPr>
              <w:sdtEndPr/>
              <w:sdtContent>
                <w:r w:rsidR="001E3F46" w:rsidRPr="00BA5262">
                  <w:t>RfQ21/02361</w:t>
                </w:r>
                <w:r w:rsidR="001E3F46">
                  <w:t xml:space="preserve"> </w:t>
                </w:r>
                <w:r w:rsidR="001E3F46" w:rsidRPr="00BA5262">
                  <w:t>Development of Designs and installation of Photovoltaic Panels on public buildings under the Distributed renewable electricity generation demo project</w:t>
                </w:r>
              </w:sdtContent>
            </w:sdt>
          </w:p>
        </w:tc>
        <w:tc>
          <w:tcPr>
            <w:tcW w:w="3686" w:type="dxa"/>
            <w:shd w:val="clear" w:color="auto" w:fill="auto"/>
            <w:vAlign w:val="center"/>
          </w:tcPr>
          <w:p w14:paraId="06D1811E" w14:textId="77777777" w:rsidR="001E3F46" w:rsidRPr="00DC17EA" w:rsidRDefault="001E3F46" w:rsidP="00250FC9">
            <w:pPr>
              <w:spacing w:before="120" w:after="120"/>
              <w:rPr>
                <w:rFonts w:cstheme="minorHAnsi"/>
                <w:sz w:val="20"/>
                <w:szCs w:val="20"/>
                <w:highlight w:val="yellow"/>
              </w:rPr>
            </w:pPr>
            <w:r w:rsidRPr="00525B2D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25B2D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948BDD5" w14:textId="37075B22" w:rsidR="001E3F46" w:rsidRPr="00F2315B" w:rsidRDefault="001E3F46" w:rsidP="001E3F46">
      <w:pPr>
        <w:rPr>
          <w:rFonts w:cstheme="minorHAnsi"/>
          <w:b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568"/>
        <w:gridCol w:w="1985"/>
        <w:gridCol w:w="3402"/>
      </w:tblGrid>
      <w:tr w:rsidR="00177423" w:rsidRPr="004F3926" w14:paraId="4F63BE36" w14:textId="7765945F" w:rsidTr="001E3F46">
        <w:trPr>
          <w:trHeight w:val="563"/>
        </w:trPr>
        <w:tc>
          <w:tcPr>
            <w:tcW w:w="641" w:type="dxa"/>
            <w:shd w:val="clear" w:color="000000" w:fill="BFBFBF"/>
            <w:hideMark/>
          </w:tcPr>
          <w:p w14:paraId="418FE912" w14:textId="77777777" w:rsidR="00177423" w:rsidRPr="00A3592A" w:rsidRDefault="00177423" w:rsidP="00EC2E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359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Item no. </w:t>
            </w:r>
          </w:p>
        </w:tc>
        <w:tc>
          <w:tcPr>
            <w:tcW w:w="8568" w:type="dxa"/>
            <w:shd w:val="clear" w:color="000000" w:fill="BFBFBF"/>
            <w:vAlign w:val="center"/>
            <w:hideMark/>
          </w:tcPr>
          <w:p w14:paraId="48ED36FF" w14:textId="77777777" w:rsidR="00177423" w:rsidRPr="00A3592A" w:rsidRDefault="00177423" w:rsidP="001E3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A359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Generic Description</w:t>
            </w:r>
          </w:p>
        </w:tc>
        <w:tc>
          <w:tcPr>
            <w:tcW w:w="1985" w:type="dxa"/>
            <w:shd w:val="clear" w:color="000000" w:fill="BFBFBF"/>
            <w:vAlign w:val="center"/>
          </w:tcPr>
          <w:p w14:paraId="4DEBEB02" w14:textId="6482E08F" w:rsidR="00177423" w:rsidRDefault="00177423" w:rsidP="001E3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Indicate compliance</w:t>
            </w:r>
          </w:p>
          <w:p w14:paraId="725CBCDC" w14:textId="62871E22" w:rsidR="00177423" w:rsidRPr="00A3592A" w:rsidRDefault="00177423" w:rsidP="001E3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(YES / NO)</w:t>
            </w:r>
          </w:p>
        </w:tc>
        <w:tc>
          <w:tcPr>
            <w:tcW w:w="3402" w:type="dxa"/>
            <w:shd w:val="clear" w:color="000000" w:fill="BFBFBF"/>
            <w:vAlign w:val="center"/>
          </w:tcPr>
          <w:p w14:paraId="0EFA02D1" w14:textId="4D8A9429" w:rsidR="00177423" w:rsidRPr="00A3592A" w:rsidRDefault="00177423" w:rsidP="001E3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Highlight deviations and provide comments</w:t>
            </w:r>
          </w:p>
        </w:tc>
      </w:tr>
      <w:tr w:rsidR="00177423" w:rsidRPr="004F3926" w14:paraId="01FEB0AD" w14:textId="3313BB3C" w:rsidTr="00417290">
        <w:trPr>
          <w:trHeight w:val="570"/>
        </w:trPr>
        <w:tc>
          <w:tcPr>
            <w:tcW w:w="641" w:type="dxa"/>
            <w:shd w:val="clear" w:color="auto" w:fill="auto"/>
            <w:noWrap/>
          </w:tcPr>
          <w:p w14:paraId="1A5BD9A8" w14:textId="3830864D" w:rsidR="00177423" w:rsidRPr="00A3592A" w:rsidRDefault="004207A0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68" w:type="dxa"/>
            <w:shd w:val="clear" w:color="000000" w:fill="FFFFFF"/>
            <w:noWrap/>
          </w:tcPr>
          <w:p w14:paraId="50B9C671" w14:textId="7055E39B" w:rsidR="00177423" w:rsidRPr="008811D8" w:rsidRDefault="008811D8" w:rsidP="008811D8">
            <w:pPr>
              <w:rPr>
                <w:rFonts w:eastAsia="Segoe UI Symbol" w:cstheme="minorHAnsi"/>
                <w:sz w:val="20"/>
                <w:szCs w:val="20"/>
              </w:rPr>
            </w:pPr>
            <w:r w:rsidRPr="008811D8">
              <w:rPr>
                <w:rFonts w:eastAsia="Segoe UI Symbol" w:cstheme="minorHAnsi"/>
                <w:sz w:val="20"/>
                <w:szCs w:val="20"/>
              </w:rPr>
              <w:t xml:space="preserve">The yield warranty for the PV modules should be minimum 25 years at minimum 80%. </w:t>
            </w:r>
          </w:p>
        </w:tc>
        <w:tc>
          <w:tcPr>
            <w:tcW w:w="1985" w:type="dxa"/>
            <w:shd w:val="clear" w:color="000000" w:fill="FFFFFF"/>
          </w:tcPr>
          <w:p w14:paraId="1E123756" w14:textId="77777777" w:rsidR="00177423" w:rsidRPr="00A3592A" w:rsidRDefault="00177423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1702C0CB" w14:textId="77777777" w:rsidR="00177423" w:rsidRPr="00A3592A" w:rsidRDefault="00177423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1F8E7773" w14:textId="77777777" w:rsidTr="00417290">
        <w:trPr>
          <w:trHeight w:val="570"/>
        </w:trPr>
        <w:tc>
          <w:tcPr>
            <w:tcW w:w="641" w:type="dxa"/>
            <w:shd w:val="clear" w:color="auto" w:fill="auto"/>
            <w:noWrap/>
          </w:tcPr>
          <w:p w14:paraId="7BAD97DB" w14:textId="389D03A7" w:rsidR="008811D8" w:rsidRPr="00A3592A" w:rsidRDefault="004207A0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68" w:type="dxa"/>
            <w:shd w:val="clear" w:color="000000" w:fill="FFFFFF"/>
            <w:noWrap/>
          </w:tcPr>
          <w:p w14:paraId="4DA7A857" w14:textId="627F474D" w:rsidR="008811D8" w:rsidRPr="008811D8" w:rsidRDefault="008811D8" w:rsidP="008811D8">
            <w:pPr>
              <w:rPr>
                <w:rFonts w:eastAsia="Segoe UI Symbol" w:cstheme="minorHAnsi"/>
                <w:sz w:val="20"/>
                <w:szCs w:val="20"/>
              </w:rPr>
            </w:pPr>
            <w:r w:rsidRPr="000D02DD">
              <w:rPr>
                <w:rFonts w:eastAsia="Segoe UI Symbol" w:cstheme="minorHAnsi"/>
                <w:sz w:val="20"/>
                <w:szCs w:val="20"/>
              </w:rPr>
              <w:t xml:space="preserve">Full warranty for all equipment and panels </w:t>
            </w:r>
            <w:r w:rsidR="00574EA6">
              <w:rPr>
                <w:rFonts w:eastAsia="Segoe UI Symbol" w:cstheme="minorHAnsi"/>
                <w:sz w:val="20"/>
                <w:szCs w:val="20"/>
              </w:rPr>
              <w:t xml:space="preserve">is </w:t>
            </w:r>
            <w:r w:rsidRPr="000D02DD">
              <w:rPr>
                <w:rFonts w:eastAsia="Segoe UI Symbol" w:cstheme="minorHAnsi"/>
                <w:sz w:val="20"/>
                <w:szCs w:val="20"/>
              </w:rPr>
              <w:t>at least 12 years except the inverter were a minimum 5-year warranty is applied</w:t>
            </w:r>
          </w:p>
        </w:tc>
        <w:tc>
          <w:tcPr>
            <w:tcW w:w="1985" w:type="dxa"/>
            <w:shd w:val="clear" w:color="000000" w:fill="FFFFFF"/>
          </w:tcPr>
          <w:p w14:paraId="33F1EE25" w14:textId="77777777" w:rsidR="008811D8" w:rsidRPr="00A3592A" w:rsidRDefault="008811D8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6349C16E" w14:textId="77777777" w:rsidR="008811D8" w:rsidRPr="00A3592A" w:rsidRDefault="008811D8" w:rsidP="00EC2E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4D8A139A" w14:textId="77777777" w:rsidTr="00417290">
        <w:trPr>
          <w:trHeight w:val="570"/>
        </w:trPr>
        <w:tc>
          <w:tcPr>
            <w:tcW w:w="641" w:type="dxa"/>
            <w:shd w:val="clear" w:color="auto" w:fill="auto"/>
            <w:noWrap/>
          </w:tcPr>
          <w:p w14:paraId="7AA98F75" w14:textId="7AA1E2AC" w:rsidR="008811D8" w:rsidRPr="00A3592A" w:rsidRDefault="004207A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68" w:type="dxa"/>
            <w:shd w:val="clear" w:color="000000" w:fill="FFFFFF"/>
            <w:noWrap/>
          </w:tcPr>
          <w:p w14:paraId="55F185E5" w14:textId="4574BDEE" w:rsidR="008811D8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service life for PV modules and mounting structure is at least 25 years</w:t>
            </w:r>
          </w:p>
        </w:tc>
        <w:tc>
          <w:tcPr>
            <w:tcW w:w="1985" w:type="dxa"/>
            <w:shd w:val="clear" w:color="000000" w:fill="FFFFFF"/>
          </w:tcPr>
          <w:p w14:paraId="2DAA8EEA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03396FFE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3B37043A" w14:textId="4F8304F8" w:rsidTr="00417290">
        <w:trPr>
          <w:trHeight w:val="435"/>
        </w:trPr>
        <w:tc>
          <w:tcPr>
            <w:tcW w:w="641" w:type="dxa"/>
            <w:shd w:val="clear" w:color="auto" w:fill="auto"/>
            <w:noWrap/>
          </w:tcPr>
          <w:p w14:paraId="22CC853C" w14:textId="2F81EBDA" w:rsidR="008811D8" w:rsidRPr="00A3592A" w:rsidRDefault="004207A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68" w:type="dxa"/>
            <w:shd w:val="clear" w:color="000000" w:fill="FFFFFF"/>
          </w:tcPr>
          <w:p w14:paraId="1B2024F8" w14:textId="084F0066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service life for inverter/s is at least 15 years</w:t>
            </w:r>
          </w:p>
        </w:tc>
        <w:tc>
          <w:tcPr>
            <w:tcW w:w="1985" w:type="dxa"/>
            <w:shd w:val="clear" w:color="000000" w:fill="FFFFFF"/>
          </w:tcPr>
          <w:p w14:paraId="453493C1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70626FFD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138A05F2" w14:textId="263015C7" w:rsidTr="00417290">
        <w:trPr>
          <w:trHeight w:val="390"/>
        </w:trPr>
        <w:tc>
          <w:tcPr>
            <w:tcW w:w="641" w:type="dxa"/>
            <w:shd w:val="clear" w:color="auto" w:fill="auto"/>
            <w:noWrap/>
          </w:tcPr>
          <w:p w14:paraId="48A9FF82" w14:textId="2641DE57" w:rsidR="008811D8" w:rsidRPr="00A3592A" w:rsidRDefault="004207A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68" w:type="dxa"/>
            <w:shd w:val="clear" w:color="000000" w:fill="FFFFFF"/>
          </w:tcPr>
          <w:p w14:paraId="3CBC0148" w14:textId="7079FB92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efficiency of solar panels must be at least 19,5%</w:t>
            </w:r>
          </w:p>
        </w:tc>
        <w:tc>
          <w:tcPr>
            <w:tcW w:w="1985" w:type="dxa"/>
            <w:shd w:val="clear" w:color="000000" w:fill="FFFFFF"/>
          </w:tcPr>
          <w:p w14:paraId="5421C05D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1DC034B5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288025F7" w14:textId="1F092B3D" w:rsidTr="00417290">
        <w:trPr>
          <w:trHeight w:val="408"/>
        </w:trPr>
        <w:tc>
          <w:tcPr>
            <w:tcW w:w="641" w:type="dxa"/>
            <w:shd w:val="clear" w:color="auto" w:fill="auto"/>
            <w:noWrap/>
          </w:tcPr>
          <w:p w14:paraId="3112BFC6" w14:textId="47FB88C5" w:rsidR="008811D8" w:rsidRPr="00A3592A" w:rsidRDefault="004207A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68" w:type="dxa"/>
            <w:shd w:val="clear" w:color="000000" w:fill="FFFFFF"/>
          </w:tcPr>
          <w:p w14:paraId="3753E4E0" w14:textId="0C6E458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efficiency of the inverter/s must be at least 98% </w:t>
            </w:r>
          </w:p>
        </w:tc>
        <w:tc>
          <w:tcPr>
            <w:tcW w:w="1985" w:type="dxa"/>
            <w:shd w:val="clear" w:color="000000" w:fill="FFFFFF"/>
          </w:tcPr>
          <w:p w14:paraId="6342951B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  <w:shd w:val="clear" w:color="000000" w:fill="FFFFFF"/>
          </w:tcPr>
          <w:p w14:paraId="3DCC931C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811D8" w:rsidRPr="004F3926" w14:paraId="01BD4655" w14:textId="3EEF531E" w:rsidTr="00417290">
        <w:trPr>
          <w:trHeight w:val="615"/>
        </w:trPr>
        <w:tc>
          <w:tcPr>
            <w:tcW w:w="641" w:type="dxa"/>
            <w:shd w:val="clear" w:color="auto" w:fill="auto"/>
            <w:noWrap/>
          </w:tcPr>
          <w:p w14:paraId="67F6CAFA" w14:textId="17BACD41" w:rsidR="008811D8" w:rsidRPr="00A3592A" w:rsidRDefault="004207A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68" w:type="dxa"/>
            <w:shd w:val="clear" w:color="auto" w:fill="auto"/>
          </w:tcPr>
          <w:p w14:paraId="01D5CA44" w14:textId="32946AEC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PV station must be provisioned with data transmission modules for online, monitoring of electricity production (either invertor or through smart meter)</w:t>
            </w:r>
          </w:p>
        </w:tc>
        <w:tc>
          <w:tcPr>
            <w:tcW w:w="1985" w:type="dxa"/>
          </w:tcPr>
          <w:p w14:paraId="7FF7D681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E5472B2" w14:textId="77777777" w:rsidR="008811D8" w:rsidRPr="00A3592A" w:rsidRDefault="008811D8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17290" w:rsidRPr="004F3926" w14:paraId="3578A065" w14:textId="77777777" w:rsidTr="00417290">
        <w:trPr>
          <w:trHeight w:val="615"/>
        </w:trPr>
        <w:tc>
          <w:tcPr>
            <w:tcW w:w="641" w:type="dxa"/>
            <w:shd w:val="clear" w:color="auto" w:fill="auto"/>
            <w:noWrap/>
          </w:tcPr>
          <w:p w14:paraId="723E00D0" w14:textId="6FAE1D0D" w:rsidR="00417290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68" w:type="dxa"/>
            <w:shd w:val="clear" w:color="auto" w:fill="auto"/>
          </w:tcPr>
          <w:p w14:paraId="4FB21416" w14:textId="49A5E421" w:rsidR="00417290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172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 exposed cables or conduits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are</w:t>
            </w:r>
            <w:r w:rsidRPr="004172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sunlight resistant</w:t>
            </w:r>
          </w:p>
        </w:tc>
        <w:tc>
          <w:tcPr>
            <w:tcW w:w="1985" w:type="dxa"/>
          </w:tcPr>
          <w:p w14:paraId="7DB978D0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4F5CC82F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17290" w:rsidRPr="004F3926" w14:paraId="2648ED8B" w14:textId="77777777" w:rsidTr="00417290">
        <w:trPr>
          <w:trHeight w:val="615"/>
        </w:trPr>
        <w:tc>
          <w:tcPr>
            <w:tcW w:w="641" w:type="dxa"/>
            <w:shd w:val="clear" w:color="auto" w:fill="auto"/>
            <w:noWrap/>
          </w:tcPr>
          <w:p w14:paraId="67A0A8FD" w14:textId="544F0BEC" w:rsidR="00417290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68" w:type="dxa"/>
            <w:shd w:val="clear" w:color="auto" w:fill="auto"/>
          </w:tcPr>
          <w:p w14:paraId="2A90F787" w14:textId="1FB46D22" w:rsidR="00417290" w:rsidRPr="000D02DD" w:rsidRDefault="00417290" w:rsidP="0041729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F87">
              <w:rPr>
                <w:rFonts w:asciiTheme="minorHAnsi" w:hAnsiTheme="minorHAnsi" w:cstheme="minorHAnsi"/>
                <w:sz w:val="22"/>
                <w:szCs w:val="22"/>
              </w:rPr>
              <w:t xml:space="preserve">All required overcurrent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hyperlink r:id="rId8" w:tooltip="&quot;lightning&quot; română traducere" w:history="1">
              <w:r w:rsidRPr="007D5455">
                <w:rPr>
                  <w:rFonts w:cstheme="minorHAnsi"/>
                </w:rPr>
                <w:t>lightning</w:t>
              </w:r>
            </w:hyperlink>
            <w:r>
              <w:rPr>
                <w:rFonts w:cstheme="minorHAnsi"/>
              </w:rPr>
              <w:t xml:space="preserve"> </w:t>
            </w:r>
            <w:r w:rsidRPr="00024F87">
              <w:rPr>
                <w:rFonts w:asciiTheme="minorHAnsi" w:hAnsiTheme="minorHAnsi" w:cstheme="minorHAnsi"/>
                <w:sz w:val="22"/>
                <w:szCs w:val="22"/>
              </w:rPr>
              <w:t xml:space="preserve">protection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024F87">
              <w:rPr>
                <w:rFonts w:asciiTheme="minorHAnsi" w:hAnsiTheme="minorHAnsi" w:cstheme="minorHAnsi"/>
                <w:sz w:val="22"/>
                <w:szCs w:val="22"/>
              </w:rPr>
              <w:t xml:space="preserve"> included in the system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024F87">
              <w:rPr>
                <w:rFonts w:asciiTheme="minorHAnsi" w:hAnsiTheme="minorHAnsi" w:cstheme="minorHAnsi"/>
                <w:sz w:val="22"/>
                <w:szCs w:val="22"/>
              </w:rPr>
              <w:t xml:space="preserve"> accessible for maintenance.</w:t>
            </w:r>
            <w:r w:rsidRPr="00D83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7FEBF9" w14:textId="77777777" w:rsidR="00417290" w:rsidRPr="00417290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</w:tc>
        <w:tc>
          <w:tcPr>
            <w:tcW w:w="1985" w:type="dxa"/>
          </w:tcPr>
          <w:p w14:paraId="5B8C5ECF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331E239C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417290" w:rsidRPr="004F3926" w14:paraId="0E689D90" w14:textId="77777777" w:rsidTr="00417290">
        <w:trPr>
          <w:trHeight w:val="615"/>
        </w:trPr>
        <w:tc>
          <w:tcPr>
            <w:tcW w:w="641" w:type="dxa"/>
            <w:shd w:val="clear" w:color="auto" w:fill="auto"/>
            <w:noWrap/>
          </w:tcPr>
          <w:p w14:paraId="3633DC39" w14:textId="6A0768A5" w:rsidR="00417290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8568" w:type="dxa"/>
            <w:shd w:val="clear" w:color="auto" w:fill="auto"/>
          </w:tcPr>
          <w:p w14:paraId="7E94447B" w14:textId="5534DD6B" w:rsidR="00417290" w:rsidRPr="00024F87" w:rsidRDefault="00417290" w:rsidP="0041729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3447">
              <w:rPr>
                <w:rFonts w:asciiTheme="minorHAnsi" w:hAnsiTheme="minorHAnsi" w:cstheme="minorHAnsi"/>
                <w:sz w:val="22"/>
                <w:szCs w:val="22"/>
              </w:rPr>
              <w:t xml:space="preserve">All cables, conduit, exposed conductors, and electrical boxes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913447">
              <w:rPr>
                <w:rFonts w:asciiTheme="minorHAnsi" w:hAnsiTheme="minorHAnsi" w:cstheme="minorHAnsi"/>
                <w:sz w:val="22"/>
                <w:szCs w:val="22"/>
              </w:rPr>
              <w:t xml:space="preserve"> be secured and supported according to code requirements</w:t>
            </w:r>
          </w:p>
        </w:tc>
        <w:tc>
          <w:tcPr>
            <w:tcW w:w="1985" w:type="dxa"/>
          </w:tcPr>
          <w:p w14:paraId="1914115B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31EA8E7A" w14:textId="77777777" w:rsidR="00417290" w:rsidRPr="00A3592A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351F0B" w:rsidRPr="004F3926" w14:paraId="6EDC8616" w14:textId="77777777" w:rsidTr="00417290">
        <w:trPr>
          <w:trHeight w:val="318"/>
        </w:trPr>
        <w:tc>
          <w:tcPr>
            <w:tcW w:w="641" w:type="dxa"/>
            <w:shd w:val="clear" w:color="auto" w:fill="auto"/>
            <w:noWrap/>
          </w:tcPr>
          <w:p w14:paraId="1D85B74B" w14:textId="0A037113" w:rsidR="00351F0B" w:rsidRDefault="00417290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68" w:type="dxa"/>
            <w:shd w:val="clear" w:color="auto" w:fill="auto"/>
          </w:tcPr>
          <w:p w14:paraId="2DD5747D" w14:textId="57648E19" w:rsidR="00351F0B" w:rsidRPr="00666581" w:rsidRDefault="00351F0B" w:rsidP="008811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</w:t>
            </w:r>
            <w:r w:rsidRPr="000D02DD">
              <w:rPr>
                <w:rFonts w:cstheme="minorHAnsi"/>
                <w:sz w:val="20"/>
                <w:szCs w:val="20"/>
              </w:rPr>
              <w:t>aranteed electricity production for the 10th year of PV station commissioning (measured at or after the invertor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02DD">
              <w:rPr>
                <w:rFonts w:cstheme="minorHAnsi"/>
                <w:sz w:val="20"/>
                <w:szCs w:val="20"/>
              </w:rPr>
              <w:t xml:space="preserve">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02DD">
              <w:rPr>
                <w:rFonts w:cstheme="minorHAnsi"/>
                <w:sz w:val="20"/>
                <w:szCs w:val="20"/>
              </w:rPr>
              <w:t>Object 1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0D02DD">
              <w:rPr>
                <w:rFonts w:cstheme="minorHAnsi"/>
                <w:sz w:val="20"/>
                <w:szCs w:val="20"/>
              </w:rPr>
              <w:t>standard annual in-plane radiation of 1459.27 kWh/m2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02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70E2BABF" w14:textId="77777777" w:rsidR="00351F0B" w:rsidRPr="00A3592A" w:rsidRDefault="00351F0B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45231B56" w14:textId="1BCA34F9" w:rsidR="00351F0B" w:rsidRPr="00A3592A" w:rsidRDefault="00666581" w:rsidP="008811D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Please provide value and calculation</w:t>
            </w:r>
          </w:p>
        </w:tc>
      </w:tr>
      <w:tr w:rsidR="00666581" w:rsidRPr="004F3926" w14:paraId="6ED52F2E" w14:textId="77777777" w:rsidTr="00417290">
        <w:trPr>
          <w:trHeight w:val="615"/>
        </w:trPr>
        <w:tc>
          <w:tcPr>
            <w:tcW w:w="641" w:type="dxa"/>
            <w:shd w:val="clear" w:color="auto" w:fill="auto"/>
            <w:noWrap/>
          </w:tcPr>
          <w:p w14:paraId="5E1E3CD1" w14:textId="73AA1B6B" w:rsidR="00666581" w:rsidRDefault="00417290" w:rsidP="006665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68" w:type="dxa"/>
            <w:shd w:val="clear" w:color="auto" w:fill="auto"/>
          </w:tcPr>
          <w:p w14:paraId="490FF691" w14:textId="2F4E8C8C" w:rsidR="00666581" w:rsidRDefault="00666581" w:rsidP="0066658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</w:t>
            </w:r>
            <w:r w:rsidRPr="000D02DD">
              <w:rPr>
                <w:rFonts w:cstheme="minorHAnsi"/>
                <w:sz w:val="20"/>
                <w:szCs w:val="20"/>
              </w:rPr>
              <w:t>aranteed electricity production for the 10th year of PV station commissioning (measured at or after the invertor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0D02DD">
              <w:rPr>
                <w:rFonts w:cstheme="minorHAnsi"/>
                <w:sz w:val="20"/>
                <w:szCs w:val="20"/>
              </w:rPr>
              <w:t xml:space="preserve"> for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D02DD">
              <w:rPr>
                <w:rFonts w:cstheme="minorHAnsi"/>
                <w:sz w:val="20"/>
                <w:szCs w:val="20"/>
              </w:rPr>
              <w:t>Object 2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Pr="000D02DD">
              <w:rPr>
                <w:rFonts w:cstheme="minorHAnsi"/>
                <w:sz w:val="20"/>
                <w:szCs w:val="20"/>
              </w:rPr>
              <w:t>standard annual in-plane radiation of 1497.1 kWh/m2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472EDF3" w14:textId="77777777" w:rsidR="00666581" w:rsidRPr="00A3592A" w:rsidRDefault="00666581" w:rsidP="006665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481F2B84" w14:textId="0083F08C" w:rsidR="00666581" w:rsidRPr="00A3592A" w:rsidRDefault="00666581" w:rsidP="006665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Please provide value and calculation</w:t>
            </w:r>
          </w:p>
        </w:tc>
      </w:tr>
    </w:tbl>
    <w:p w14:paraId="158B7316" w14:textId="77777777" w:rsidR="001E3F46" w:rsidRPr="007B5F2B" w:rsidRDefault="001E3F46" w:rsidP="001E3F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</w:p>
    <w:p w14:paraId="21CAD348" w14:textId="77777777" w:rsidR="001E3F46" w:rsidRPr="007B5F2B" w:rsidRDefault="001E3F46" w:rsidP="001E3F46">
      <w:pPr>
        <w:tabs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Signature: 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  <w:u w:val="single"/>
        </w:rPr>
        <w:tab/>
      </w:r>
    </w:p>
    <w:p w14:paraId="7D184526" w14:textId="77777777" w:rsidR="001E3F46" w:rsidRPr="007B5F2B" w:rsidRDefault="001E3F46" w:rsidP="001E3F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 xml:space="preserve">Name: 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089696931"/>
          <w:showingPlcHdr/>
          <w:text/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2721B466" w14:textId="77777777" w:rsidR="001E3F46" w:rsidRPr="007B5F2B" w:rsidRDefault="001E3F46" w:rsidP="001E3F46">
      <w:pPr>
        <w:tabs>
          <w:tab w:val="left" w:pos="993"/>
          <w:tab w:val="left" w:pos="4820"/>
        </w:tabs>
        <w:spacing w:before="60" w:after="60"/>
        <w:jc w:val="both"/>
        <w:rPr>
          <w:rFonts w:cstheme="minorHAnsi"/>
          <w:iCs/>
          <w:snapToGrid w:val="0"/>
          <w:color w:val="000000" w:themeColor="text1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>Title: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</w:rPr>
          <w:id w:val="-1157147635"/>
          <w:showingPlcHdr/>
          <w:text/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4D0B3B8" w14:textId="53126E9E" w:rsidR="001E3F46" w:rsidRPr="005E5F03" w:rsidRDefault="001E3F46" w:rsidP="001E3F46">
      <w:pPr>
        <w:rPr>
          <w:rFonts w:cstheme="minorHAnsi"/>
          <w:sz w:val="20"/>
          <w:szCs w:val="20"/>
        </w:rPr>
      </w:pPr>
      <w:r w:rsidRPr="007B5F2B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 xml:space="preserve">Date:  </w:t>
      </w:r>
      <w:r w:rsidRPr="007B5F2B">
        <w:rPr>
          <w:rFonts w:cstheme="minorHAnsi"/>
          <w:iCs/>
          <w:snapToGrid w:val="0"/>
          <w:color w:val="000000" w:themeColor="text1"/>
          <w:sz w:val="20"/>
          <w:szCs w:val="20"/>
          <w:lang w:val="en-US"/>
        </w:rPr>
        <w:tab/>
      </w:r>
      <w:sdt>
        <w:sdtPr>
          <w:rPr>
            <w:rFonts w:cstheme="minorHAnsi"/>
            <w:iCs/>
            <w:snapToGrid w:val="0"/>
            <w:color w:val="000000" w:themeColor="text1"/>
            <w:sz w:val="20"/>
            <w:szCs w:val="20"/>
            <w:lang w:val="en-US"/>
          </w:rPr>
          <w:id w:val="1084342474"/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7B5F2B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sdtContent>
      </w:sdt>
    </w:p>
    <w:sectPr w:rsidR="001E3F46" w:rsidRPr="005E5F03" w:rsidSect="00094DE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0F3E"/>
    <w:multiLevelType w:val="hybridMultilevel"/>
    <w:tmpl w:val="EF3C57FA"/>
    <w:lvl w:ilvl="0" w:tplc="0A18A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3225"/>
    <w:multiLevelType w:val="hybridMultilevel"/>
    <w:tmpl w:val="7FC6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B9"/>
    <w:rsid w:val="000203F0"/>
    <w:rsid w:val="00094DEF"/>
    <w:rsid w:val="00177423"/>
    <w:rsid w:val="001E3F46"/>
    <w:rsid w:val="00297AB9"/>
    <w:rsid w:val="00305C6F"/>
    <w:rsid w:val="0033037C"/>
    <w:rsid w:val="00351F0B"/>
    <w:rsid w:val="00417290"/>
    <w:rsid w:val="004204FC"/>
    <w:rsid w:val="004207A0"/>
    <w:rsid w:val="00475831"/>
    <w:rsid w:val="00574EA6"/>
    <w:rsid w:val="00652A1A"/>
    <w:rsid w:val="00666581"/>
    <w:rsid w:val="007833E5"/>
    <w:rsid w:val="00805257"/>
    <w:rsid w:val="00861C48"/>
    <w:rsid w:val="008811D8"/>
    <w:rsid w:val="0093301D"/>
    <w:rsid w:val="00C50D97"/>
    <w:rsid w:val="00C933E3"/>
    <w:rsid w:val="00D43978"/>
    <w:rsid w:val="00DF7448"/>
    <w:rsid w:val="00E0308F"/>
    <w:rsid w:val="00E0565C"/>
    <w:rsid w:val="00ED0DA0"/>
    <w:rsid w:val="00F03B38"/>
    <w:rsid w:val="00F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F0E1"/>
  <w15:chartTrackingRefBased/>
  <w15:docId w15:val="{B23F9BC0-E967-4DD7-A985-775E7BBF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eft Bullet L1,Bullets,Table/Figure Heading,En tête 1,NumberedParas,List Paragraph (numbered (a)),WB Para,Heading,Párrafo de lista1"/>
    <w:basedOn w:val="Normal"/>
    <w:link w:val="ListParagraphChar"/>
    <w:uiPriority w:val="34"/>
    <w:qFormat/>
    <w:rsid w:val="008811D8"/>
    <w:pPr>
      <w:ind w:left="720"/>
      <w:contextualSpacing/>
    </w:pPr>
  </w:style>
  <w:style w:type="character" w:customStyle="1" w:styleId="ListParagraphChar">
    <w:name w:val="List Paragraph Char"/>
    <w:aliases w:val="List Paragraph1 Char,Left Bullet L1 Char,Bullets Char,Table/Figure Heading Char,En tête 1 Char,NumberedParas Char,List Paragraph (numbered (a)) Char,WB Para Char,Heading Char,Párrafo de lista1 Char"/>
    <w:basedOn w:val="DefaultParagraphFont"/>
    <w:link w:val="ListParagraph"/>
    <w:uiPriority w:val="34"/>
    <w:locked/>
    <w:rsid w:val="008811D8"/>
  </w:style>
  <w:style w:type="character" w:styleId="CommentReference">
    <w:name w:val="annotation reference"/>
    <w:basedOn w:val="DefaultParagraphFont"/>
    <w:uiPriority w:val="99"/>
    <w:semiHidden/>
    <w:unhideWhenUsed/>
    <w:rsid w:val="00417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7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7290"/>
    <w:rPr>
      <w:sz w:val="20"/>
      <w:szCs w:val="20"/>
    </w:rPr>
  </w:style>
  <w:style w:type="paragraph" w:customStyle="1" w:styleId="Default">
    <w:name w:val="Default"/>
    <w:rsid w:val="00417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rsid w:val="001E3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bab.la/dic%C8%9Bionar/engleza-romana/light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7C38C-D51F-40B5-89F0-E584277D1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5CCF3-E1CD-4C20-9F73-31997105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37CF3-3B8A-4EAC-96C3-4DF0971825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11</cp:revision>
  <dcterms:created xsi:type="dcterms:W3CDTF">2021-09-15T07:19:00Z</dcterms:created>
  <dcterms:modified xsi:type="dcterms:W3CDTF">2021-09-16T11:43:00Z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