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8A15CD" w:rsidRPr="008A15CD" w14:paraId="2E89B979" w14:textId="77777777" w:rsidTr="008A15CD">
        <w:tc>
          <w:tcPr>
            <w:tcW w:w="3085" w:type="dxa"/>
            <w:vAlign w:val="center"/>
          </w:tcPr>
          <w:p w14:paraId="46732477" w14:textId="77777777" w:rsidR="000004D1" w:rsidRPr="008A15CD" w:rsidRDefault="000004D1" w:rsidP="000004D1">
            <w:pPr>
              <w:spacing w:after="60"/>
              <w:rPr>
                <w:rFonts w:asciiTheme="majorBidi" w:hAnsiTheme="majorBidi" w:cstheme="majorBidi"/>
                <w:noProof/>
                <w:lang w:eastAsia="en-GB"/>
              </w:rPr>
            </w:pPr>
            <w:r w:rsidRPr="008A15CD">
              <w:rPr>
                <w:rFonts w:asciiTheme="majorBidi" w:hAnsiTheme="majorBidi" w:cstheme="majorBidi"/>
                <w:noProof/>
                <w:lang w:eastAsia="zh-CN"/>
              </w:rPr>
              <w:drawing>
                <wp:inline distT="0" distB="0" distL="0" distR="0" wp14:anchorId="0D2ED8E3" wp14:editId="5943320A">
                  <wp:extent cx="1724188" cy="54346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tc>
        <w:tc>
          <w:tcPr>
            <w:tcW w:w="6157" w:type="dxa"/>
            <w:vAlign w:val="center"/>
          </w:tcPr>
          <w:p w14:paraId="4A4AB189" w14:textId="77777777" w:rsidR="000004D1" w:rsidRPr="008A15CD" w:rsidRDefault="002C1915" w:rsidP="000004D1">
            <w:pPr>
              <w:spacing w:after="60"/>
              <w:rPr>
                <w:rFonts w:cstheme="minorHAnsi"/>
                <w:b/>
                <w:bCs/>
                <w:noProof/>
                <w:sz w:val="36"/>
                <w:szCs w:val="36"/>
                <w:lang w:eastAsia="en-GB"/>
              </w:rPr>
            </w:pPr>
            <w:r w:rsidRPr="008A15CD">
              <w:rPr>
                <w:rFonts w:cstheme="minorHAnsi"/>
                <w:b/>
                <w:bCs/>
                <w:noProof/>
                <w:sz w:val="36"/>
                <w:szCs w:val="36"/>
                <w:lang w:eastAsia="en-GB"/>
              </w:rPr>
              <w:t>Agreement for Performance of Work</w:t>
            </w:r>
            <w:r w:rsidR="008A15CD" w:rsidRPr="008A15CD">
              <w:rPr>
                <w:rStyle w:val="FootnoteReference"/>
                <w:rFonts w:cstheme="minorHAnsi"/>
                <w:b/>
                <w:bCs/>
                <w:noProof/>
                <w:sz w:val="36"/>
                <w:szCs w:val="36"/>
                <w:lang w:eastAsia="en-GB"/>
              </w:rPr>
              <w:footnoteReference w:id="1"/>
            </w:r>
            <w:r w:rsidR="008A15CD" w:rsidRPr="008A15CD">
              <w:rPr>
                <w:rFonts w:cstheme="minorHAnsi"/>
                <w:b/>
                <w:bCs/>
                <w:noProof/>
                <w:sz w:val="36"/>
                <w:szCs w:val="36"/>
                <w:lang w:eastAsia="en-GB"/>
              </w:rPr>
              <w:br/>
            </w:r>
            <w:r w:rsidR="008A15CD" w:rsidRPr="008A15CD">
              <w:rPr>
                <w:rFonts w:cstheme="minorHAnsi"/>
                <w:noProof/>
                <w:sz w:val="24"/>
                <w:szCs w:val="24"/>
                <w:lang w:eastAsia="en-GB"/>
              </w:rPr>
              <w:t>Services</w:t>
            </w:r>
          </w:p>
        </w:tc>
      </w:tr>
    </w:tbl>
    <w:p w14:paraId="749D3597" w14:textId="77777777" w:rsidR="000004D1" w:rsidRPr="008A15CD" w:rsidRDefault="000004D1" w:rsidP="000004D1">
      <w:pPr>
        <w:spacing w:after="60" w:line="240" w:lineRule="auto"/>
        <w:jc w:val="center"/>
        <w:rPr>
          <w:b/>
          <w:bCs/>
          <w:sz w:val="16"/>
          <w:szCs w:val="16"/>
        </w:rPr>
      </w:pPr>
    </w:p>
    <w:p w14:paraId="4E1DCB81" w14:textId="77777777" w:rsidR="00C05E37" w:rsidRPr="008A15CD" w:rsidRDefault="000004D1" w:rsidP="00C05E37">
      <w:pPr>
        <w:spacing w:after="60" w:line="240" w:lineRule="auto"/>
        <w:jc w:val="center"/>
        <w:rPr>
          <w:b/>
          <w:bCs/>
          <w:sz w:val="36"/>
          <w:szCs w:val="36"/>
        </w:rPr>
      </w:pPr>
      <w:r w:rsidRPr="008A15CD">
        <w:rPr>
          <w:b/>
          <w:bCs/>
          <w:sz w:val="36"/>
          <w:szCs w:val="36"/>
        </w:rPr>
        <w:t>Terms of Reference</w:t>
      </w:r>
    </w:p>
    <w:p w14:paraId="01878A30" w14:textId="77777777" w:rsidR="000004D1" w:rsidRPr="008A15CD" w:rsidRDefault="00B13252" w:rsidP="00CF48C5">
      <w:pPr>
        <w:pStyle w:val="ListParagraph"/>
        <w:numPr>
          <w:ilvl w:val="0"/>
          <w:numId w:val="1"/>
        </w:numPr>
        <w:spacing w:after="60" w:line="240" w:lineRule="auto"/>
        <w:rPr>
          <w:rFonts w:cstheme="minorHAnsi"/>
          <w:b/>
          <w:bCs/>
        </w:rPr>
      </w:pPr>
      <w:r w:rsidRPr="008A15CD">
        <w:rPr>
          <w:rFonts w:cstheme="minorHAnsi"/>
          <w:b/>
          <w:bCs/>
        </w:rPr>
        <w:t>*</w:t>
      </w:r>
      <w:r w:rsidR="00CF48C5">
        <w:rPr>
          <w:rFonts w:cstheme="minorHAnsi"/>
          <w:b/>
          <w:bCs/>
        </w:rPr>
        <w:t>Purpose</w:t>
      </w:r>
      <w:r w:rsidR="00DD12DB" w:rsidRPr="008A15CD">
        <w:rPr>
          <w:rFonts w:cstheme="minorHAnsi"/>
          <w:b/>
          <w:bCs/>
        </w:rPr>
        <w:t xml:space="preserve"> of the </w:t>
      </w:r>
      <w:r w:rsidR="002C1915" w:rsidRPr="008A15CD">
        <w:rPr>
          <w:rFonts w:cstheme="minorHAnsi"/>
          <w:b/>
          <w:bCs/>
        </w:rPr>
        <w:t>APW</w:t>
      </w:r>
    </w:p>
    <w:p w14:paraId="63013169" w14:textId="487E21FC" w:rsidR="000004D1" w:rsidRPr="00A3608D" w:rsidRDefault="0075541B" w:rsidP="001F3ED9">
      <w:pPr>
        <w:spacing w:after="0"/>
        <w:ind w:left="28"/>
        <w:rPr>
          <w:rFonts w:cstheme="minorHAnsi"/>
        </w:rPr>
      </w:pPr>
      <w:r w:rsidRPr="00A3608D">
        <w:rPr>
          <w:rFonts w:cstheme="minorHAnsi"/>
        </w:rPr>
        <w:t xml:space="preserve">To carry out procurement </w:t>
      </w:r>
      <w:r w:rsidR="00185403">
        <w:rPr>
          <w:rFonts w:cstheme="minorHAnsi"/>
        </w:rPr>
        <w:t xml:space="preserve">of </w:t>
      </w:r>
      <w:r w:rsidR="001F3ED9">
        <w:rPr>
          <w:rFonts w:cstheme="minorHAnsi"/>
        </w:rPr>
        <w:t>t</w:t>
      </w:r>
      <w:r w:rsidR="005C7657">
        <w:rPr>
          <w:rFonts w:cstheme="minorHAnsi"/>
        </w:rPr>
        <w:t xml:space="preserve">en </w:t>
      </w:r>
      <w:r w:rsidR="005C7657" w:rsidRPr="005C7657">
        <w:rPr>
          <w:rFonts w:cstheme="minorHAnsi"/>
        </w:rPr>
        <w:t xml:space="preserve">backup power supply (diesel generator) for the needs </w:t>
      </w:r>
      <w:r w:rsidR="005C7657">
        <w:rPr>
          <w:rFonts w:cstheme="minorHAnsi"/>
        </w:rPr>
        <w:t>for</w:t>
      </w:r>
      <w:r w:rsidR="005C7657" w:rsidRPr="005C7657">
        <w:rPr>
          <w:rFonts w:cstheme="minorHAnsi"/>
        </w:rPr>
        <w:t xml:space="preserve"> the </w:t>
      </w:r>
      <w:r w:rsidR="005C7657">
        <w:rPr>
          <w:rFonts w:cstheme="minorHAnsi"/>
        </w:rPr>
        <w:t xml:space="preserve">ten regional District </w:t>
      </w:r>
      <w:r w:rsidR="005C7657" w:rsidRPr="005C7657">
        <w:rPr>
          <w:rFonts w:cstheme="minorHAnsi"/>
        </w:rPr>
        <w:t xml:space="preserve">Vaccine </w:t>
      </w:r>
      <w:r w:rsidR="005C7657">
        <w:rPr>
          <w:rFonts w:cstheme="minorHAnsi"/>
        </w:rPr>
        <w:t>W</w:t>
      </w:r>
      <w:r w:rsidR="005C7657" w:rsidRPr="005C7657">
        <w:rPr>
          <w:rFonts w:cstheme="minorHAnsi"/>
        </w:rPr>
        <w:t>arehouse</w:t>
      </w:r>
      <w:r w:rsidR="005C7657">
        <w:rPr>
          <w:rFonts w:cstheme="minorHAnsi"/>
        </w:rPr>
        <w:t>s</w:t>
      </w:r>
      <w:r w:rsidR="005C7657" w:rsidRPr="005C7657">
        <w:rPr>
          <w:rFonts w:cstheme="minorHAnsi"/>
        </w:rPr>
        <w:t xml:space="preserve"> </w:t>
      </w:r>
      <w:r w:rsidR="005C7657">
        <w:rPr>
          <w:rFonts w:cstheme="minorHAnsi"/>
        </w:rPr>
        <w:t xml:space="preserve">from </w:t>
      </w:r>
      <w:r w:rsidR="005C7657" w:rsidRPr="005C7657">
        <w:rPr>
          <w:rFonts w:cstheme="minorHAnsi"/>
        </w:rPr>
        <w:t>the Republic of Moldova</w:t>
      </w:r>
      <w:r w:rsidR="001F3ED9">
        <w:rPr>
          <w:rFonts w:cstheme="minorHAnsi"/>
        </w:rPr>
        <w:t xml:space="preserve"> in order to ensure</w:t>
      </w:r>
      <w:r w:rsidR="005C7657">
        <w:rPr>
          <w:rFonts w:cstheme="minorHAnsi"/>
        </w:rPr>
        <w:t xml:space="preserve"> proper electric alimentation of cold chain equipment.</w:t>
      </w:r>
      <w:r w:rsidR="001F3ED9">
        <w:rPr>
          <w:rFonts w:cstheme="minorHAnsi"/>
        </w:rPr>
        <w:t xml:space="preserve"> </w:t>
      </w:r>
    </w:p>
    <w:p w14:paraId="749B532A" w14:textId="77777777" w:rsidR="0075541B" w:rsidRPr="0075541B" w:rsidRDefault="0075541B" w:rsidP="0075541B">
      <w:pPr>
        <w:spacing w:after="0"/>
        <w:ind w:left="28"/>
        <w:rPr>
          <w:rFonts w:cstheme="minorHAnsi"/>
          <w:sz w:val="20"/>
          <w:szCs w:val="20"/>
        </w:rPr>
      </w:pPr>
    </w:p>
    <w:p w14:paraId="3FD17797"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DD12DB" w:rsidRPr="008A15CD">
        <w:rPr>
          <w:rFonts w:cstheme="minorHAnsi"/>
          <w:b/>
          <w:bCs/>
        </w:rPr>
        <w:t>Background</w:t>
      </w:r>
    </w:p>
    <w:p w14:paraId="4F29D03D" w14:textId="056E1CA6" w:rsidR="005C7657" w:rsidRDefault="005C7657" w:rsidP="005C7657">
      <w:pPr>
        <w:spacing w:after="60" w:line="240" w:lineRule="auto"/>
      </w:pPr>
      <w:r>
        <w:t>The Ministry of Health and Social Protection (</w:t>
      </w:r>
      <w:proofErr w:type="spellStart"/>
      <w:r>
        <w:t>MoH</w:t>
      </w:r>
      <w:proofErr w:type="spellEnd"/>
      <w:r>
        <w:t xml:space="preserve">) of the Republic of Moldova sent an official letter to the WHO Country Office in the Republic of Moldova with the request to support the National Agency for Public </w:t>
      </w:r>
      <w:r w:rsidR="00C76B59">
        <w:t>Health (</w:t>
      </w:r>
      <w:r>
        <w:t xml:space="preserve">NAPH) in procurement of the necessary </w:t>
      </w:r>
      <w:r>
        <w:rPr>
          <w:rFonts w:cstheme="minorHAnsi"/>
        </w:rPr>
        <w:t xml:space="preserve">ten </w:t>
      </w:r>
      <w:r w:rsidRPr="005C7657">
        <w:rPr>
          <w:rFonts w:cstheme="minorHAnsi"/>
        </w:rPr>
        <w:t xml:space="preserve">backup power supply (diesel generator) for the needs </w:t>
      </w:r>
      <w:r>
        <w:rPr>
          <w:rFonts w:cstheme="minorHAnsi"/>
        </w:rPr>
        <w:t>for</w:t>
      </w:r>
      <w:r w:rsidRPr="005C7657">
        <w:rPr>
          <w:rFonts w:cstheme="minorHAnsi"/>
        </w:rPr>
        <w:t xml:space="preserve"> the </w:t>
      </w:r>
      <w:r>
        <w:rPr>
          <w:rFonts w:cstheme="minorHAnsi"/>
        </w:rPr>
        <w:t xml:space="preserve">ten regional District </w:t>
      </w:r>
      <w:r w:rsidRPr="005C7657">
        <w:rPr>
          <w:rFonts w:cstheme="minorHAnsi"/>
        </w:rPr>
        <w:t xml:space="preserve">Vaccine </w:t>
      </w:r>
      <w:r>
        <w:rPr>
          <w:rFonts w:cstheme="minorHAnsi"/>
        </w:rPr>
        <w:t>W</w:t>
      </w:r>
      <w:r w:rsidRPr="005C7657">
        <w:rPr>
          <w:rFonts w:cstheme="minorHAnsi"/>
        </w:rPr>
        <w:t>arehouse</w:t>
      </w:r>
      <w:r>
        <w:rPr>
          <w:rFonts w:cstheme="minorHAnsi"/>
        </w:rPr>
        <w:t>s.</w:t>
      </w:r>
    </w:p>
    <w:p w14:paraId="12269113" w14:textId="75408785" w:rsidR="005C7657" w:rsidRDefault="005C7657" w:rsidP="005C7657">
      <w:pPr>
        <w:spacing w:after="60" w:line="240" w:lineRule="auto"/>
      </w:pPr>
      <w:r>
        <w:t xml:space="preserve">The NAPH is the responsible authority for distribution of vaccines to all administrative territories through Public Health </w:t>
      </w:r>
      <w:r w:rsidR="00C84702">
        <w:t>Centres</w:t>
      </w:r>
      <w:r>
        <w:t xml:space="preserve"> (10 regional and 27 district vaccine warehouses) and then to the primary health care institutions and maternity hospitals, municipal and national hospitals. NAPH is also responsible for one of the key aspects of the immunization process, storage of vaccine at national and regional level, with the most significant storage volumes. As part of the immunization service, the NAPH with territorial divisions is responsible for coordination of the immunization system in the Republic of Moldova via “cold chain” management from the receipt of the vaccines at the national level to its distribution to administrative territories until health care facilities.  </w:t>
      </w:r>
    </w:p>
    <w:p w14:paraId="5F670FB5" w14:textId="4A585338" w:rsidR="005C7657" w:rsidRPr="005C7657" w:rsidRDefault="005C7657" w:rsidP="005C7657">
      <w:pPr>
        <w:spacing w:after="60" w:line="240" w:lineRule="auto"/>
        <w:rPr>
          <w:lang w:val="en-US"/>
        </w:rPr>
      </w:pPr>
      <w:r w:rsidRPr="005C7657">
        <w:rPr>
          <w:lang w:val="en-US"/>
        </w:rPr>
        <w:t xml:space="preserve">The backup power supply for </w:t>
      </w:r>
      <w:r>
        <w:rPr>
          <w:lang w:val="en-US"/>
        </w:rPr>
        <w:t>the cold chain equipment</w:t>
      </w:r>
      <w:r w:rsidRPr="005C7657">
        <w:rPr>
          <w:lang w:val="en-US"/>
        </w:rPr>
        <w:t xml:space="preserve"> is extremely needed due to the reason of non-stable electricity power supply, including electricity grid failures and blackouts. This equipment will help protect expensive equipment against damage from unexpected power failures. Backup power supply device will provide power backup to the systems, ensuring that there is no critical interruption between the equipment and the main power supply. Regarding the power consumption of vaccine deposit the right solution is to procure the diesel generator with the enough capacity. </w:t>
      </w:r>
    </w:p>
    <w:p w14:paraId="1B89F2C8" w14:textId="2A9CB22D" w:rsidR="005C7657" w:rsidRPr="005C7657" w:rsidRDefault="005C7657" w:rsidP="005C7657">
      <w:pPr>
        <w:spacing w:after="60" w:line="240" w:lineRule="auto"/>
        <w:rPr>
          <w:lang w:val="en-US"/>
        </w:rPr>
      </w:pPr>
      <w:r w:rsidRPr="005C7657">
        <w:rPr>
          <w:lang w:val="en-US"/>
        </w:rPr>
        <w:t>The National Agency for Public Health made an estimation of the equipment needed based on the technical requirements</w:t>
      </w:r>
      <w:r>
        <w:rPr>
          <w:lang w:val="en-US"/>
        </w:rPr>
        <w:t xml:space="preserve">, which </w:t>
      </w:r>
      <w:r w:rsidRPr="005C7657">
        <w:rPr>
          <w:lang w:val="en-US"/>
        </w:rPr>
        <w:t>were submitted to the WHO as part of the request.</w:t>
      </w:r>
    </w:p>
    <w:p w14:paraId="64F319D4" w14:textId="77777777" w:rsidR="001F3ED9" w:rsidRPr="008A15CD" w:rsidRDefault="001F3ED9" w:rsidP="000004D1">
      <w:pPr>
        <w:spacing w:after="60" w:line="240" w:lineRule="auto"/>
        <w:rPr>
          <w:rFonts w:cstheme="minorHAnsi"/>
          <w:sz w:val="20"/>
          <w:szCs w:val="20"/>
          <w:highlight w:val="yellow"/>
        </w:rPr>
      </w:pPr>
    </w:p>
    <w:p w14:paraId="1560DCE9" w14:textId="77777777" w:rsidR="000004D1" w:rsidRPr="008A15CD" w:rsidRDefault="00B13252" w:rsidP="000004D1">
      <w:pPr>
        <w:pStyle w:val="ListParagraph"/>
        <w:numPr>
          <w:ilvl w:val="0"/>
          <w:numId w:val="1"/>
        </w:numPr>
        <w:spacing w:after="60" w:line="240" w:lineRule="auto"/>
        <w:rPr>
          <w:rFonts w:cstheme="minorHAnsi"/>
          <w:b/>
          <w:bCs/>
        </w:rPr>
      </w:pPr>
      <w:r w:rsidRPr="008A15CD">
        <w:rPr>
          <w:rFonts w:cstheme="minorHAnsi"/>
          <w:b/>
          <w:bCs/>
        </w:rPr>
        <w:t>*</w:t>
      </w:r>
      <w:r w:rsidR="000004D1" w:rsidRPr="008A15CD">
        <w:rPr>
          <w:rFonts w:cstheme="minorHAnsi"/>
          <w:b/>
          <w:bCs/>
        </w:rPr>
        <w:t xml:space="preserve">Planned timelines </w:t>
      </w:r>
      <w:r w:rsidR="000004D1" w:rsidRPr="008A15CD">
        <w:rPr>
          <w:rFonts w:cstheme="minorHAnsi"/>
        </w:rPr>
        <w:t>(subject to confirmation)</w:t>
      </w:r>
    </w:p>
    <w:p w14:paraId="7BE8DD54" w14:textId="2B4DD39D" w:rsidR="000004D1" w:rsidRPr="008A15CD" w:rsidRDefault="00AC164C" w:rsidP="000004D1">
      <w:pPr>
        <w:spacing w:after="60" w:line="240" w:lineRule="auto"/>
        <w:rPr>
          <w:rFonts w:cstheme="minorHAnsi"/>
        </w:rPr>
      </w:pPr>
      <w:r>
        <w:rPr>
          <w:rFonts w:cstheme="minorHAnsi"/>
        </w:rPr>
        <w:t>November</w:t>
      </w:r>
      <w:r w:rsidR="00B4478C">
        <w:rPr>
          <w:rFonts w:cstheme="minorHAnsi"/>
        </w:rPr>
        <w:t>-December</w:t>
      </w:r>
      <w:r>
        <w:rPr>
          <w:rFonts w:cstheme="minorHAnsi"/>
        </w:rPr>
        <w:t xml:space="preserve"> </w:t>
      </w:r>
      <w:r w:rsidR="007E6EA0">
        <w:rPr>
          <w:rFonts w:cstheme="minorHAnsi"/>
        </w:rPr>
        <w:t>2021</w:t>
      </w:r>
    </w:p>
    <w:p w14:paraId="2F7FD1EF" w14:textId="77777777" w:rsidR="00CF48C5" w:rsidRDefault="00CF48C5" w:rsidP="00CF48C5">
      <w:pPr>
        <w:pStyle w:val="ListParagraph"/>
        <w:spacing w:after="60" w:line="240" w:lineRule="auto"/>
        <w:ind w:left="360"/>
        <w:rPr>
          <w:rFonts w:cstheme="minorHAnsi"/>
          <w:b/>
          <w:bCs/>
        </w:rPr>
      </w:pPr>
    </w:p>
    <w:p w14:paraId="55A57F63" w14:textId="77777777" w:rsidR="000004D1" w:rsidRPr="008A15CD" w:rsidRDefault="0077203D" w:rsidP="000004D1">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Requirements</w:t>
      </w:r>
      <w:r w:rsidRPr="008A15CD">
        <w:rPr>
          <w:rFonts w:cstheme="minorHAnsi"/>
          <w:b/>
          <w:bCs/>
        </w:rPr>
        <w:t xml:space="preserve"> -</w:t>
      </w:r>
      <w:r w:rsidR="00C51175" w:rsidRPr="008A15CD">
        <w:rPr>
          <w:rFonts w:cstheme="minorHAnsi"/>
          <w:b/>
          <w:bCs/>
        </w:rPr>
        <w:t xml:space="preserve"> </w:t>
      </w:r>
      <w:r w:rsidR="00DD12DB" w:rsidRPr="008A15CD">
        <w:rPr>
          <w:rFonts w:cstheme="minorHAnsi"/>
          <w:b/>
          <w:bCs/>
        </w:rPr>
        <w:t>Work to be performed</w:t>
      </w:r>
    </w:p>
    <w:p w14:paraId="6ED8079F" w14:textId="77777777" w:rsidR="005C7657" w:rsidRDefault="00C51175" w:rsidP="009B4806">
      <w:pPr>
        <w:spacing w:after="0"/>
        <w:ind w:left="28"/>
        <w:rPr>
          <w:rFonts w:cstheme="minorHAnsi"/>
        </w:rPr>
      </w:pPr>
      <w:r w:rsidRPr="008A15CD">
        <w:rPr>
          <w:rFonts w:cstheme="minorHAnsi"/>
          <w:u w:val="single"/>
        </w:rPr>
        <w:t>Objective</w:t>
      </w:r>
      <w:r w:rsidR="000004D1" w:rsidRPr="008A15CD">
        <w:rPr>
          <w:rFonts w:cstheme="minorHAnsi"/>
          <w:u w:val="single"/>
        </w:rPr>
        <w:t xml:space="preserve"> </w:t>
      </w:r>
      <w:r w:rsidR="00FC4B20">
        <w:rPr>
          <w:rFonts w:cstheme="minorHAnsi"/>
          <w:u w:val="single"/>
        </w:rPr>
        <w:t>1</w:t>
      </w:r>
      <w:r w:rsidR="000004D1" w:rsidRPr="00FC4B20">
        <w:rPr>
          <w:rFonts w:cstheme="minorHAnsi"/>
          <w:sz w:val="20"/>
          <w:szCs w:val="20"/>
        </w:rPr>
        <w:t xml:space="preserve">: </w:t>
      </w:r>
      <w:r w:rsidR="005C7657" w:rsidRPr="00A3608D">
        <w:rPr>
          <w:rFonts w:cstheme="minorHAnsi"/>
        </w:rPr>
        <w:t xml:space="preserve">To carry out procurement </w:t>
      </w:r>
      <w:r w:rsidR="005C7657">
        <w:rPr>
          <w:rFonts w:cstheme="minorHAnsi"/>
        </w:rPr>
        <w:t xml:space="preserve">of ten </w:t>
      </w:r>
      <w:r w:rsidR="005C7657" w:rsidRPr="005C7657">
        <w:rPr>
          <w:rFonts w:cstheme="minorHAnsi"/>
        </w:rPr>
        <w:t xml:space="preserve">backup power supply (diesel generator) for the needs </w:t>
      </w:r>
      <w:r w:rsidR="005C7657">
        <w:rPr>
          <w:rFonts w:cstheme="minorHAnsi"/>
        </w:rPr>
        <w:t>for</w:t>
      </w:r>
      <w:r w:rsidR="005C7657" w:rsidRPr="005C7657">
        <w:rPr>
          <w:rFonts w:cstheme="minorHAnsi"/>
        </w:rPr>
        <w:t xml:space="preserve"> the </w:t>
      </w:r>
      <w:r w:rsidR="005C7657">
        <w:rPr>
          <w:rFonts w:cstheme="minorHAnsi"/>
        </w:rPr>
        <w:t xml:space="preserve">ten regional District </w:t>
      </w:r>
      <w:r w:rsidR="005C7657" w:rsidRPr="005C7657">
        <w:rPr>
          <w:rFonts w:cstheme="minorHAnsi"/>
        </w:rPr>
        <w:t xml:space="preserve">Vaccine </w:t>
      </w:r>
      <w:r w:rsidR="005C7657">
        <w:rPr>
          <w:rFonts w:cstheme="minorHAnsi"/>
        </w:rPr>
        <w:t>W</w:t>
      </w:r>
      <w:r w:rsidR="005C7657" w:rsidRPr="005C7657">
        <w:rPr>
          <w:rFonts w:cstheme="minorHAnsi"/>
        </w:rPr>
        <w:t>arehouse</w:t>
      </w:r>
      <w:r w:rsidR="005C7657">
        <w:rPr>
          <w:rFonts w:cstheme="minorHAnsi"/>
        </w:rPr>
        <w:t>s</w:t>
      </w:r>
      <w:r w:rsidR="005C7657" w:rsidRPr="005C7657">
        <w:rPr>
          <w:rFonts w:cstheme="minorHAnsi"/>
        </w:rPr>
        <w:t xml:space="preserve"> </w:t>
      </w:r>
    </w:p>
    <w:p w14:paraId="4D52A5D4" w14:textId="42BC7A2A" w:rsidR="009B4806" w:rsidRDefault="00AC164C" w:rsidP="009B4806">
      <w:pPr>
        <w:spacing w:after="0"/>
        <w:ind w:left="28"/>
        <w:rPr>
          <w:rFonts w:cstheme="minorHAnsi"/>
        </w:rPr>
      </w:pPr>
      <w:r>
        <w:rPr>
          <w:rFonts w:cstheme="minorHAnsi"/>
        </w:rPr>
        <w:t>Object</w:t>
      </w:r>
      <w:r w:rsidR="005C7657">
        <w:rPr>
          <w:rFonts w:cstheme="minorHAnsi"/>
        </w:rPr>
        <w:t>ive</w:t>
      </w:r>
      <w:r>
        <w:rPr>
          <w:rFonts w:cstheme="minorHAnsi"/>
        </w:rPr>
        <w:t xml:space="preserve"> 2: </w:t>
      </w:r>
      <w:r w:rsidR="009B4806" w:rsidRPr="00A3608D">
        <w:rPr>
          <w:rFonts w:cstheme="minorHAnsi"/>
        </w:rPr>
        <w:t xml:space="preserve">To </w:t>
      </w:r>
      <w:r w:rsidR="005C7657">
        <w:rPr>
          <w:rFonts w:cstheme="minorHAnsi"/>
        </w:rPr>
        <w:t xml:space="preserve">distribute the </w:t>
      </w:r>
      <w:r w:rsidR="00C76B59">
        <w:rPr>
          <w:rFonts w:cstheme="minorHAnsi"/>
        </w:rPr>
        <w:t>ten-backup</w:t>
      </w:r>
      <w:r w:rsidR="005C7657" w:rsidRPr="005C7657">
        <w:rPr>
          <w:rFonts w:cstheme="minorHAnsi"/>
        </w:rPr>
        <w:t xml:space="preserve"> power supply (diesel </w:t>
      </w:r>
      <w:r w:rsidR="00C84702" w:rsidRPr="005C7657">
        <w:rPr>
          <w:rFonts w:cstheme="minorHAnsi"/>
        </w:rPr>
        <w:t xml:space="preserve">generator) </w:t>
      </w:r>
      <w:r w:rsidR="00C84702">
        <w:rPr>
          <w:rFonts w:cstheme="minorHAnsi"/>
        </w:rPr>
        <w:t>in</w:t>
      </w:r>
      <w:r w:rsidR="005C7657">
        <w:rPr>
          <w:rFonts w:cstheme="minorHAnsi"/>
        </w:rPr>
        <w:t xml:space="preserve"> ten regional vaccine warehouses of Public Health </w:t>
      </w:r>
      <w:proofErr w:type="spellStart"/>
      <w:r w:rsidR="005C7657">
        <w:rPr>
          <w:rFonts w:cstheme="minorHAnsi"/>
        </w:rPr>
        <w:t>Centers</w:t>
      </w:r>
      <w:proofErr w:type="spellEnd"/>
      <w:r w:rsidR="005C7657">
        <w:rPr>
          <w:rFonts w:cstheme="minorHAnsi"/>
        </w:rPr>
        <w:t xml:space="preserve">. </w:t>
      </w:r>
    </w:p>
    <w:p w14:paraId="58B36B0E" w14:textId="4ACE6111" w:rsidR="005C7657" w:rsidRPr="00A3608D" w:rsidRDefault="005C7657" w:rsidP="005C7657">
      <w:pPr>
        <w:spacing w:after="0"/>
        <w:ind w:left="28"/>
        <w:rPr>
          <w:rFonts w:cstheme="minorHAnsi"/>
        </w:rPr>
      </w:pPr>
      <w:r>
        <w:rPr>
          <w:rFonts w:cstheme="minorHAnsi"/>
        </w:rPr>
        <w:t xml:space="preserve">Objective 3: </w:t>
      </w:r>
      <w:r w:rsidRPr="00A3608D">
        <w:rPr>
          <w:rFonts w:cstheme="minorHAnsi"/>
        </w:rPr>
        <w:t xml:space="preserve">To </w:t>
      </w:r>
      <w:r>
        <w:rPr>
          <w:rFonts w:cstheme="minorHAnsi"/>
        </w:rPr>
        <w:t xml:space="preserve">install the ten (10) </w:t>
      </w:r>
      <w:r w:rsidRPr="005C7657">
        <w:rPr>
          <w:rFonts w:cstheme="minorHAnsi"/>
        </w:rPr>
        <w:t>backup power supply (diesel generator)</w:t>
      </w:r>
      <w:r>
        <w:rPr>
          <w:rFonts w:cstheme="minorHAnsi"/>
        </w:rPr>
        <w:t xml:space="preserve"> in ten regional vaccine warehouses of Public Health </w:t>
      </w:r>
      <w:proofErr w:type="spellStart"/>
      <w:r>
        <w:rPr>
          <w:rFonts w:cstheme="minorHAnsi"/>
        </w:rPr>
        <w:t>Centers</w:t>
      </w:r>
      <w:proofErr w:type="spellEnd"/>
      <w:r>
        <w:rPr>
          <w:rFonts w:cstheme="minorHAnsi"/>
        </w:rPr>
        <w:t xml:space="preserve"> and train the personnel for use. </w:t>
      </w:r>
    </w:p>
    <w:p w14:paraId="1FABD93B" w14:textId="76B08DE7" w:rsidR="007E6EA0" w:rsidRPr="00A3608D" w:rsidRDefault="007E6EA0" w:rsidP="007E6EA0">
      <w:pPr>
        <w:spacing w:after="0"/>
        <w:ind w:left="28"/>
        <w:rPr>
          <w:rFonts w:cstheme="minorHAnsi"/>
        </w:rPr>
      </w:pPr>
    </w:p>
    <w:p w14:paraId="16FC65D4" w14:textId="0EC9D3F1" w:rsidR="00C51175" w:rsidRDefault="00B13252" w:rsidP="00C51175">
      <w:pPr>
        <w:pStyle w:val="ListParagraph"/>
        <w:numPr>
          <w:ilvl w:val="0"/>
          <w:numId w:val="1"/>
        </w:numPr>
        <w:spacing w:after="60" w:line="240" w:lineRule="auto"/>
        <w:rPr>
          <w:rFonts w:cstheme="minorHAnsi"/>
          <w:b/>
          <w:bCs/>
        </w:rPr>
      </w:pPr>
      <w:r w:rsidRPr="008A15CD">
        <w:rPr>
          <w:rFonts w:cstheme="minorHAnsi"/>
          <w:b/>
          <w:bCs/>
        </w:rPr>
        <w:t>*</w:t>
      </w:r>
      <w:r w:rsidR="00C51175" w:rsidRPr="008A15CD">
        <w:rPr>
          <w:rFonts w:cstheme="minorHAnsi"/>
          <w:b/>
          <w:bCs/>
        </w:rPr>
        <w:t xml:space="preserve">Requirements </w:t>
      </w:r>
    </w:p>
    <w:p w14:paraId="54E46CFC" w14:textId="203D0220" w:rsidR="00F36895" w:rsidRDefault="00F36895" w:rsidP="00F36895">
      <w:pPr>
        <w:pStyle w:val="ListParagraph"/>
        <w:spacing w:after="60" w:line="240" w:lineRule="auto"/>
        <w:ind w:left="360"/>
        <w:rPr>
          <w:rFonts w:cstheme="minorHAnsi"/>
          <w:b/>
          <w:bCs/>
        </w:rPr>
      </w:pPr>
    </w:p>
    <w:p w14:paraId="66C53124" w14:textId="64640B17" w:rsidR="00F36895" w:rsidRDefault="00F36895" w:rsidP="00F36895">
      <w:pPr>
        <w:ind w:left="252"/>
        <w:jc w:val="both"/>
        <w:rPr>
          <w:rFonts w:cstheme="minorHAnsi"/>
          <w:b/>
        </w:rPr>
      </w:pPr>
      <w:r w:rsidRPr="009B4806">
        <w:rPr>
          <w:rFonts w:cstheme="minorHAnsi"/>
          <w:b/>
        </w:rPr>
        <w:lastRenderedPageBreak/>
        <w:t>Technical specifications</w:t>
      </w:r>
      <w:r w:rsidR="00B8414B" w:rsidRPr="009B4806">
        <w:rPr>
          <w:rFonts w:cstheme="minorHAnsi"/>
          <w:b/>
        </w:rPr>
        <w:t xml:space="preserve"> of </w:t>
      </w:r>
      <w:r w:rsidR="009B4806" w:rsidRPr="009B4806">
        <w:rPr>
          <w:rFonts w:cstheme="minorHAnsi"/>
          <w:b/>
        </w:rPr>
        <w:t xml:space="preserve">the </w:t>
      </w:r>
      <w:r w:rsidR="00626B69" w:rsidRPr="00626B69">
        <w:rPr>
          <w:rFonts w:cstheme="minorHAnsi"/>
          <w:b/>
        </w:rPr>
        <w:t>backup power supply (diesel generator)</w:t>
      </w:r>
      <w:r w:rsidR="00C76B59">
        <w:rPr>
          <w:rFonts w:cstheme="minorHAnsi"/>
          <w:b/>
        </w:rPr>
        <w:t xml:space="preserve"> in annexes</w:t>
      </w:r>
      <w:r w:rsidR="00AA27A2">
        <w:rPr>
          <w:rFonts w:cstheme="minorHAnsi"/>
          <w:b/>
        </w:rPr>
        <w:t xml:space="preserve"> for each location.</w:t>
      </w:r>
    </w:p>
    <w:p w14:paraId="6EEB2113" w14:textId="77777777" w:rsidR="00C51175" w:rsidRPr="008A15CD" w:rsidRDefault="00C51175" w:rsidP="00C51175">
      <w:pPr>
        <w:pStyle w:val="ListParagraph"/>
        <w:numPr>
          <w:ilvl w:val="0"/>
          <w:numId w:val="1"/>
        </w:numPr>
        <w:spacing w:after="60" w:line="240" w:lineRule="auto"/>
        <w:rPr>
          <w:rFonts w:cstheme="minorHAnsi"/>
          <w:b/>
          <w:bCs/>
        </w:rPr>
      </w:pPr>
      <w:r w:rsidRPr="008A15CD">
        <w:rPr>
          <w:rFonts w:cstheme="minorHAnsi"/>
          <w:b/>
          <w:bCs/>
        </w:rPr>
        <w:t>Inputs</w:t>
      </w:r>
    </w:p>
    <w:p w14:paraId="00CA8593" w14:textId="1181EC82" w:rsidR="00F36895" w:rsidRPr="00F36895" w:rsidRDefault="00F36895" w:rsidP="00F36895">
      <w:pPr>
        <w:spacing w:after="0"/>
        <w:rPr>
          <w:rFonts w:cstheme="minorHAnsi"/>
        </w:rPr>
      </w:pPr>
      <w:r w:rsidRPr="00F36895">
        <w:rPr>
          <w:rFonts w:cstheme="minorHAnsi"/>
        </w:rPr>
        <w:t xml:space="preserve">The </w:t>
      </w:r>
      <w:r w:rsidR="00A44C8C">
        <w:rPr>
          <w:rFonts w:cstheme="minorHAnsi"/>
        </w:rPr>
        <w:t xml:space="preserve">overall </w:t>
      </w:r>
      <w:r w:rsidRPr="00F36895">
        <w:rPr>
          <w:rFonts w:cstheme="minorHAnsi"/>
        </w:rPr>
        <w:t xml:space="preserve">activity </w:t>
      </w:r>
      <w:r w:rsidR="00A44C8C">
        <w:rPr>
          <w:rFonts w:cstheme="minorHAnsi"/>
        </w:rPr>
        <w:t xml:space="preserve">shall </w:t>
      </w:r>
      <w:r w:rsidRPr="00F36895">
        <w:rPr>
          <w:rFonts w:cstheme="minorHAnsi"/>
        </w:rPr>
        <w:t xml:space="preserve">be </w:t>
      </w:r>
      <w:r w:rsidR="00A44C8C">
        <w:rPr>
          <w:rFonts w:cstheme="minorHAnsi"/>
        </w:rPr>
        <w:t xml:space="preserve">coordinated with inputs from the WHO </w:t>
      </w:r>
      <w:r w:rsidRPr="00F36895">
        <w:rPr>
          <w:rFonts w:cstheme="minorHAnsi"/>
        </w:rPr>
        <w:t>the Requesting Officer from WHO CO, Ministry of Health and National Agency for Public Health.</w:t>
      </w:r>
      <w:r>
        <w:rPr>
          <w:rFonts w:cstheme="minorHAnsi"/>
        </w:rPr>
        <w:t xml:space="preserve"> </w:t>
      </w:r>
    </w:p>
    <w:p w14:paraId="09646449" w14:textId="77777777" w:rsidR="00B13252" w:rsidRPr="00B4478C" w:rsidRDefault="00B13252" w:rsidP="00B4478C">
      <w:pPr>
        <w:spacing w:after="60" w:line="240" w:lineRule="auto"/>
        <w:rPr>
          <w:rFonts w:cstheme="minorHAnsi"/>
          <w:b/>
          <w:bCs/>
        </w:rPr>
      </w:pPr>
    </w:p>
    <w:p w14:paraId="6B680149" w14:textId="77777777" w:rsidR="00B13252" w:rsidRPr="008A15CD" w:rsidRDefault="00B13252" w:rsidP="00B13252">
      <w:pPr>
        <w:pStyle w:val="ListParagraph"/>
        <w:numPr>
          <w:ilvl w:val="0"/>
          <w:numId w:val="1"/>
        </w:numPr>
        <w:spacing w:after="60" w:line="240" w:lineRule="auto"/>
        <w:rPr>
          <w:rFonts w:cstheme="minorHAnsi"/>
          <w:b/>
          <w:bCs/>
        </w:rPr>
      </w:pPr>
      <w:r w:rsidRPr="008A15CD">
        <w:rPr>
          <w:rFonts w:cstheme="minorHAnsi"/>
          <w:b/>
          <w:bCs/>
        </w:rPr>
        <w:t>*Characteristics of the Provider</w:t>
      </w:r>
    </w:p>
    <w:p w14:paraId="10063347" w14:textId="540D9D11" w:rsidR="00B13252" w:rsidRPr="008A15CD" w:rsidRDefault="00F36895" w:rsidP="00E93504">
      <w:pPr>
        <w:spacing w:after="0"/>
        <w:rPr>
          <w:rFonts w:cstheme="minorHAnsi"/>
        </w:rPr>
      </w:pPr>
      <w:r>
        <w:rPr>
          <w:rFonts w:cstheme="minorHAnsi"/>
        </w:rPr>
        <w:t xml:space="preserve">Supplier should ensure that all </w:t>
      </w:r>
      <w:r>
        <w:t>required quantity of items is made available from the local market</w:t>
      </w:r>
      <w:r w:rsidR="00A44C8C">
        <w:t xml:space="preserve"> in Moldova</w:t>
      </w:r>
      <w:r>
        <w:t>.</w:t>
      </w:r>
      <w:r w:rsidR="008D6A2E">
        <w:t xml:space="preserve"> E</w:t>
      </w:r>
      <w:r w:rsidR="008D6A2E" w:rsidRPr="008D6A2E">
        <w:t xml:space="preserve">xperience in developing and producing similar type of equipment </w:t>
      </w:r>
      <w:r w:rsidR="008D6A2E">
        <w:t>with</w:t>
      </w:r>
      <w:r w:rsidR="008D6A2E" w:rsidRPr="008D6A2E">
        <w:t xml:space="preserve"> positive previous experience working with national authorities </w:t>
      </w:r>
      <w:r w:rsidR="008D6A2E">
        <w:t>or other organizations will be an asset</w:t>
      </w:r>
      <w:r w:rsidR="008D6A2E" w:rsidRPr="008D6A2E">
        <w:t>.</w:t>
      </w:r>
    </w:p>
    <w:p w14:paraId="58E9D1AE" w14:textId="2F18060C" w:rsidR="009439E6" w:rsidRDefault="00A44C8C" w:rsidP="009439E6">
      <w:pPr>
        <w:spacing w:after="60" w:line="240" w:lineRule="auto"/>
      </w:pPr>
      <w:r>
        <w:t>The supplier shall ensure that its procedures for awarding contracts and for the procurement of goods and services under this Agreement safeguard the principles of awards being made on an assessment of competitive quotations or bids. The supplier shall procure any such goods and services for the Project in accordance with internationally accepted standards, in compliance with the principles of transparency, proportionality, sound financial management, equal treatment and non-discrimination, with care being taken to avoid any conflict of interests, and taking account of the principles of quality, economy and efficiency. The supplier shall procure from entities that meet the standards established by WHO. The supplier shall retain all records relating to goods or services procured by it during the course of implementation of the Project for a period of at least five (5) years after the end date of the Project, and in accordance with the supplier’s procedures. Notwithstanding any contracts concluded by the supplier for the procurement of goods and services, the supplier shall be and remain fully responsible vis-à-vis WHO for the satisfactory and timely implementation of the Project, including any subcontracted work.</w:t>
      </w:r>
    </w:p>
    <w:p w14:paraId="7D3A7BA7" w14:textId="77777777" w:rsidR="00A44C8C" w:rsidRPr="008A15CD" w:rsidRDefault="00A44C8C" w:rsidP="009439E6">
      <w:pPr>
        <w:spacing w:after="60" w:line="240" w:lineRule="auto"/>
        <w:rPr>
          <w:rFonts w:cstheme="minorHAnsi"/>
        </w:rPr>
      </w:pPr>
    </w:p>
    <w:p w14:paraId="447DA7E4" w14:textId="2AA51B73" w:rsidR="00F36895" w:rsidRDefault="00E93504" w:rsidP="00F36895">
      <w:pPr>
        <w:pStyle w:val="ListParagraph"/>
        <w:numPr>
          <w:ilvl w:val="0"/>
          <w:numId w:val="1"/>
        </w:numPr>
        <w:spacing w:after="60" w:line="240" w:lineRule="auto"/>
        <w:rPr>
          <w:rFonts w:cstheme="minorHAnsi"/>
          <w:b/>
          <w:bCs/>
        </w:rPr>
      </w:pPr>
      <w:r>
        <w:rPr>
          <w:rFonts w:cstheme="minorHAnsi"/>
          <w:b/>
          <w:bCs/>
        </w:rPr>
        <w:t>*</w:t>
      </w:r>
      <w:r w:rsidR="00DD12DB" w:rsidRPr="008A15CD">
        <w:rPr>
          <w:rFonts w:cstheme="minorHAnsi"/>
          <w:b/>
          <w:bCs/>
        </w:rPr>
        <w:t>Place of assignment</w:t>
      </w:r>
    </w:p>
    <w:p w14:paraId="1B1ADB1A" w14:textId="7054437E" w:rsidR="00F36895" w:rsidRDefault="00F36895" w:rsidP="00F36895">
      <w:pPr>
        <w:pStyle w:val="ListParagraph"/>
        <w:spacing w:after="60" w:line="240" w:lineRule="auto"/>
        <w:ind w:left="360"/>
        <w:rPr>
          <w:rFonts w:cstheme="minorHAnsi"/>
          <w:b/>
          <w:bCs/>
        </w:rPr>
      </w:pPr>
    </w:p>
    <w:p w14:paraId="6BAE2AD0" w14:textId="3BE3FC1D" w:rsidR="00F36895" w:rsidRDefault="00F36895" w:rsidP="00F36895">
      <w:pPr>
        <w:pStyle w:val="ListParagraph"/>
        <w:spacing w:after="60" w:line="240" w:lineRule="auto"/>
        <w:ind w:left="360"/>
        <w:rPr>
          <w:rFonts w:cstheme="minorHAnsi"/>
        </w:rPr>
      </w:pPr>
      <w:r w:rsidRPr="00F36895">
        <w:rPr>
          <w:rFonts w:cstheme="minorHAnsi"/>
        </w:rPr>
        <w:t xml:space="preserve">The activity will include </w:t>
      </w:r>
      <w:r w:rsidR="00196D7B">
        <w:rPr>
          <w:rFonts w:cstheme="minorHAnsi"/>
        </w:rPr>
        <w:t xml:space="preserve">distribution of the equipment for National Agency for Public Health, </w:t>
      </w:r>
      <w:r w:rsidR="00626B69">
        <w:rPr>
          <w:rFonts w:cstheme="minorHAnsi"/>
        </w:rPr>
        <w:t xml:space="preserve">Public Health </w:t>
      </w:r>
      <w:proofErr w:type="spellStart"/>
      <w:r w:rsidR="00626B69">
        <w:rPr>
          <w:rFonts w:cstheme="minorHAnsi"/>
        </w:rPr>
        <w:t>Centers</w:t>
      </w:r>
      <w:proofErr w:type="spellEnd"/>
      <w:r w:rsidR="00626B69">
        <w:rPr>
          <w:rFonts w:cstheme="minorHAnsi"/>
        </w:rPr>
        <w:t xml:space="preserve"> and </w:t>
      </w:r>
      <w:proofErr w:type="spellStart"/>
      <w:r w:rsidR="00626B69">
        <w:rPr>
          <w:rFonts w:cstheme="minorHAnsi"/>
        </w:rPr>
        <w:t>instal</w:t>
      </w:r>
      <w:r w:rsidR="00AF3D92">
        <w:rPr>
          <w:rFonts w:cstheme="minorHAnsi"/>
        </w:rPr>
        <w:t>ation</w:t>
      </w:r>
      <w:proofErr w:type="spellEnd"/>
      <w:r w:rsidR="00626B69">
        <w:rPr>
          <w:rFonts w:cstheme="minorHAnsi"/>
        </w:rPr>
        <w:t xml:space="preserve"> of the equipment.</w:t>
      </w:r>
    </w:p>
    <w:p w14:paraId="45B4B595" w14:textId="40A6DF9C" w:rsidR="00C76B59" w:rsidRDefault="00C76B59" w:rsidP="00F36895">
      <w:pPr>
        <w:pStyle w:val="ListParagraph"/>
        <w:spacing w:after="60" w:line="240" w:lineRule="auto"/>
        <w:ind w:left="360"/>
        <w:rPr>
          <w:rFonts w:cstheme="minorHAnsi"/>
        </w:rPr>
      </w:pPr>
    </w:p>
    <w:p w14:paraId="2BF87A02" w14:textId="77777777" w:rsidR="00C76B59" w:rsidRPr="00AF3D92" w:rsidRDefault="00C76B59" w:rsidP="00C76B59">
      <w:pPr>
        <w:pStyle w:val="Footer"/>
        <w:tabs>
          <w:tab w:val="center" w:pos="9361"/>
        </w:tabs>
        <w:rPr>
          <w:bCs/>
          <w:szCs w:val="24"/>
          <w:lang w:val="es-ES"/>
        </w:rPr>
      </w:pPr>
      <w:r w:rsidRPr="00AF3D92">
        <w:rPr>
          <w:bCs/>
          <w:szCs w:val="24"/>
          <w:lang w:val="es-ES"/>
        </w:rPr>
        <w:t xml:space="preserve">1.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Chișinău</w:t>
      </w:r>
    </w:p>
    <w:p w14:paraId="766D6CE0" w14:textId="77777777" w:rsidR="00C76B59" w:rsidRPr="00AF3D92" w:rsidRDefault="00C76B59" w:rsidP="00C76B59">
      <w:pPr>
        <w:pStyle w:val="Footer"/>
        <w:tabs>
          <w:tab w:val="center" w:pos="9361"/>
        </w:tabs>
        <w:rPr>
          <w:bCs/>
          <w:szCs w:val="24"/>
          <w:lang w:val="es-ES"/>
        </w:rPr>
      </w:pPr>
      <w:r w:rsidRPr="00AF3D92">
        <w:rPr>
          <w:bCs/>
          <w:szCs w:val="24"/>
          <w:lang w:val="es-ES"/>
        </w:rPr>
        <w:t xml:space="preserve">2.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Bălţi</w:t>
      </w:r>
      <w:proofErr w:type="spellEnd"/>
      <w:r w:rsidRPr="00AF3D92">
        <w:rPr>
          <w:bCs/>
          <w:szCs w:val="24"/>
          <w:lang w:val="es-ES"/>
        </w:rPr>
        <w:t xml:space="preserve"> </w:t>
      </w:r>
    </w:p>
    <w:p w14:paraId="5EF6B885" w14:textId="77777777" w:rsidR="00C76B59" w:rsidRPr="00AF3D92" w:rsidRDefault="00C76B59" w:rsidP="00C76B59">
      <w:pPr>
        <w:pStyle w:val="Footer"/>
        <w:tabs>
          <w:tab w:val="center" w:pos="9361"/>
        </w:tabs>
        <w:rPr>
          <w:bCs/>
          <w:szCs w:val="24"/>
          <w:lang w:val="es-ES"/>
        </w:rPr>
      </w:pPr>
      <w:r w:rsidRPr="00AF3D92">
        <w:rPr>
          <w:bCs/>
          <w:szCs w:val="24"/>
          <w:lang w:val="es-ES"/>
        </w:rPr>
        <w:t xml:space="preserve">3.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Edineţ</w:t>
      </w:r>
      <w:proofErr w:type="spellEnd"/>
      <w:r w:rsidRPr="00AF3D92">
        <w:rPr>
          <w:bCs/>
          <w:szCs w:val="24"/>
          <w:lang w:val="es-ES"/>
        </w:rPr>
        <w:t xml:space="preserve"> </w:t>
      </w:r>
    </w:p>
    <w:p w14:paraId="3A11BCEE" w14:textId="77777777" w:rsidR="00C76B59" w:rsidRPr="00AF3D92" w:rsidRDefault="00C76B59" w:rsidP="00C76B59">
      <w:pPr>
        <w:pStyle w:val="Footer"/>
        <w:tabs>
          <w:tab w:val="center" w:pos="9361"/>
        </w:tabs>
        <w:rPr>
          <w:bCs/>
          <w:szCs w:val="24"/>
          <w:lang w:val="es-ES"/>
        </w:rPr>
      </w:pPr>
      <w:r w:rsidRPr="00AF3D92">
        <w:rPr>
          <w:bCs/>
          <w:szCs w:val="24"/>
          <w:lang w:val="es-ES"/>
        </w:rPr>
        <w:t xml:space="preserve">4.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Soroca </w:t>
      </w:r>
    </w:p>
    <w:p w14:paraId="5589BE8A" w14:textId="77777777" w:rsidR="00C76B59" w:rsidRPr="00AF3D92" w:rsidRDefault="00C76B59" w:rsidP="00C76B59">
      <w:pPr>
        <w:pStyle w:val="Footer"/>
        <w:tabs>
          <w:tab w:val="center" w:pos="9361"/>
        </w:tabs>
        <w:rPr>
          <w:bCs/>
          <w:szCs w:val="24"/>
          <w:lang w:val="es-ES"/>
        </w:rPr>
      </w:pPr>
      <w:r w:rsidRPr="00AF3D92">
        <w:rPr>
          <w:bCs/>
          <w:szCs w:val="24"/>
          <w:lang w:val="es-ES"/>
        </w:rPr>
        <w:t xml:space="preserve">5.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Ungheni</w:t>
      </w:r>
      <w:proofErr w:type="spellEnd"/>
      <w:r w:rsidRPr="00AF3D92">
        <w:rPr>
          <w:bCs/>
          <w:szCs w:val="24"/>
          <w:lang w:val="es-ES"/>
        </w:rPr>
        <w:t xml:space="preserve"> </w:t>
      </w:r>
    </w:p>
    <w:p w14:paraId="205FAA4C" w14:textId="77777777" w:rsidR="00C76B59" w:rsidRPr="00AF3D92" w:rsidRDefault="00C76B59" w:rsidP="00C76B59">
      <w:pPr>
        <w:pStyle w:val="Footer"/>
        <w:tabs>
          <w:tab w:val="center" w:pos="9361"/>
        </w:tabs>
        <w:rPr>
          <w:bCs/>
          <w:szCs w:val="24"/>
          <w:lang w:val="es-ES"/>
        </w:rPr>
      </w:pPr>
      <w:r w:rsidRPr="00AF3D92">
        <w:rPr>
          <w:bCs/>
          <w:szCs w:val="24"/>
          <w:lang w:val="es-ES"/>
        </w:rPr>
        <w:t xml:space="preserve">6.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Orhei</w:t>
      </w:r>
      <w:proofErr w:type="spellEnd"/>
      <w:r w:rsidRPr="00AF3D92">
        <w:rPr>
          <w:bCs/>
          <w:szCs w:val="24"/>
          <w:lang w:val="es-ES"/>
        </w:rPr>
        <w:t xml:space="preserve"> </w:t>
      </w:r>
    </w:p>
    <w:p w14:paraId="1114EA3F" w14:textId="77777777" w:rsidR="00C76B59" w:rsidRPr="00AF3D92" w:rsidRDefault="00C76B59" w:rsidP="00C76B59">
      <w:pPr>
        <w:pStyle w:val="Footer"/>
        <w:tabs>
          <w:tab w:val="center" w:pos="9361"/>
        </w:tabs>
        <w:rPr>
          <w:bCs/>
          <w:szCs w:val="24"/>
          <w:lang w:val="es-ES"/>
        </w:rPr>
      </w:pPr>
      <w:r w:rsidRPr="00AF3D92">
        <w:rPr>
          <w:bCs/>
          <w:szCs w:val="24"/>
          <w:lang w:val="es-ES"/>
        </w:rPr>
        <w:t xml:space="preserve">7.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Hînceşti</w:t>
      </w:r>
      <w:proofErr w:type="spellEnd"/>
      <w:r w:rsidRPr="00AF3D92">
        <w:rPr>
          <w:bCs/>
          <w:szCs w:val="24"/>
          <w:lang w:val="es-ES"/>
        </w:rPr>
        <w:t xml:space="preserve"> </w:t>
      </w:r>
    </w:p>
    <w:p w14:paraId="6A6B350C" w14:textId="77777777" w:rsidR="00C76B59" w:rsidRPr="00AF3D92" w:rsidRDefault="00C76B59" w:rsidP="00C76B59">
      <w:pPr>
        <w:pStyle w:val="Footer"/>
        <w:tabs>
          <w:tab w:val="center" w:pos="9361"/>
        </w:tabs>
        <w:rPr>
          <w:bCs/>
          <w:szCs w:val="24"/>
          <w:lang w:val="es-ES"/>
        </w:rPr>
      </w:pPr>
      <w:r w:rsidRPr="00AF3D92">
        <w:rPr>
          <w:bCs/>
          <w:szCs w:val="24"/>
          <w:lang w:val="es-ES"/>
        </w:rPr>
        <w:t xml:space="preserve">8.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Căuşeni</w:t>
      </w:r>
      <w:proofErr w:type="spellEnd"/>
      <w:r w:rsidRPr="00AF3D92">
        <w:rPr>
          <w:bCs/>
          <w:szCs w:val="24"/>
          <w:lang w:val="es-ES"/>
        </w:rPr>
        <w:t xml:space="preserve"> </w:t>
      </w:r>
    </w:p>
    <w:p w14:paraId="2DDEF61C" w14:textId="77777777" w:rsidR="00C76B59" w:rsidRPr="00AF3D92" w:rsidRDefault="00C76B59" w:rsidP="00C76B59">
      <w:pPr>
        <w:pStyle w:val="Footer"/>
        <w:tabs>
          <w:tab w:val="center" w:pos="9361"/>
        </w:tabs>
        <w:rPr>
          <w:bCs/>
          <w:szCs w:val="24"/>
          <w:lang w:val="es-ES"/>
        </w:rPr>
      </w:pPr>
      <w:r w:rsidRPr="00AF3D92">
        <w:rPr>
          <w:bCs/>
          <w:szCs w:val="24"/>
          <w:lang w:val="es-ES"/>
        </w:rPr>
        <w:t xml:space="preserve">9. </w:t>
      </w:r>
      <w:proofErr w:type="spellStart"/>
      <w:r w:rsidRPr="00AF3D92">
        <w:rPr>
          <w:bCs/>
          <w:szCs w:val="24"/>
          <w:lang w:val="es-ES"/>
        </w:rPr>
        <w:t>Centrul</w:t>
      </w:r>
      <w:proofErr w:type="spellEnd"/>
      <w:r w:rsidRPr="00AF3D92">
        <w:rPr>
          <w:bCs/>
          <w:szCs w:val="24"/>
          <w:lang w:val="es-ES"/>
        </w:rPr>
        <w:t xml:space="preserve"> de </w:t>
      </w:r>
      <w:proofErr w:type="spellStart"/>
      <w:r w:rsidRPr="00AF3D92">
        <w:rPr>
          <w:bCs/>
          <w:szCs w:val="24"/>
          <w:lang w:val="es-ES"/>
        </w:rPr>
        <w:t>sănătate</w:t>
      </w:r>
      <w:proofErr w:type="spellEnd"/>
      <w:r w:rsidRPr="00AF3D92">
        <w:rPr>
          <w:bCs/>
          <w:szCs w:val="24"/>
          <w:lang w:val="es-ES"/>
        </w:rPr>
        <w:t xml:space="preserve"> </w:t>
      </w:r>
      <w:proofErr w:type="spellStart"/>
      <w:r w:rsidRPr="00AF3D92">
        <w:rPr>
          <w:bCs/>
          <w:szCs w:val="24"/>
          <w:lang w:val="es-ES"/>
        </w:rPr>
        <w:t>publică</w:t>
      </w:r>
      <w:proofErr w:type="spellEnd"/>
      <w:r w:rsidRPr="00AF3D92">
        <w:rPr>
          <w:bCs/>
          <w:szCs w:val="24"/>
          <w:lang w:val="es-ES"/>
        </w:rPr>
        <w:t xml:space="preserve"> </w:t>
      </w:r>
      <w:proofErr w:type="spellStart"/>
      <w:r w:rsidRPr="00AF3D92">
        <w:rPr>
          <w:bCs/>
          <w:szCs w:val="24"/>
          <w:lang w:val="es-ES"/>
        </w:rPr>
        <w:t>Comrat</w:t>
      </w:r>
      <w:proofErr w:type="spellEnd"/>
      <w:r w:rsidRPr="00AF3D92">
        <w:rPr>
          <w:bCs/>
          <w:szCs w:val="24"/>
          <w:lang w:val="es-ES"/>
        </w:rPr>
        <w:t xml:space="preserve"> (UTA </w:t>
      </w:r>
      <w:proofErr w:type="spellStart"/>
      <w:r w:rsidRPr="00AF3D92">
        <w:rPr>
          <w:bCs/>
          <w:szCs w:val="24"/>
          <w:lang w:val="es-ES"/>
        </w:rPr>
        <w:t>Găgăuzia</w:t>
      </w:r>
      <w:proofErr w:type="spellEnd"/>
      <w:r w:rsidRPr="00AF3D92">
        <w:rPr>
          <w:bCs/>
          <w:szCs w:val="24"/>
          <w:lang w:val="es-ES"/>
        </w:rPr>
        <w:t>)</w:t>
      </w:r>
    </w:p>
    <w:p w14:paraId="5CDD2C47" w14:textId="5D946776" w:rsidR="00C76B59" w:rsidRPr="00AA27A2" w:rsidRDefault="00C76B59" w:rsidP="00AA27A2">
      <w:pPr>
        <w:spacing w:after="60" w:line="240" w:lineRule="auto"/>
        <w:rPr>
          <w:rFonts w:cstheme="minorHAnsi"/>
        </w:rPr>
      </w:pPr>
      <w:r w:rsidRPr="00AA27A2">
        <w:rPr>
          <w:bCs/>
          <w:szCs w:val="24"/>
        </w:rPr>
        <w:t xml:space="preserve">10. </w:t>
      </w:r>
      <w:proofErr w:type="spellStart"/>
      <w:r w:rsidRPr="00AA27A2">
        <w:rPr>
          <w:bCs/>
          <w:szCs w:val="24"/>
        </w:rPr>
        <w:t>Centrul</w:t>
      </w:r>
      <w:proofErr w:type="spellEnd"/>
      <w:r w:rsidRPr="00AA27A2">
        <w:rPr>
          <w:bCs/>
          <w:szCs w:val="24"/>
        </w:rPr>
        <w:t xml:space="preserve"> de </w:t>
      </w:r>
      <w:proofErr w:type="spellStart"/>
      <w:r w:rsidRPr="00AA27A2">
        <w:rPr>
          <w:bCs/>
          <w:szCs w:val="24"/>
        </w:rPr>
        <w:t>sănătate</w:t>
      </w:r>
      <w:proofErr w:type="spellEnd"/>
      <w:r w:rsidRPr="00AA27A2">
        <w:rPr>
          <w:bCs/>
          <w:szCs w:val="24"/>
        </w:rPr>
        <w:t xml:space="preserve"> </w:t>
      </w:r>
      <w:proofErr w:type="spellStart"/>
      <w:r w:rsidRPr="00AA27A2">
        <w:rPr>
          <w:bCs/>
          <w:szCs w:val="24"/>
        </w:rPr>
        <w:t>publică</w:t>
      </w:r>
      <w:proofErr w:type="spellEnd"/>
      <w:r w:rsidRPr="00AA27A2">
        <w:rPr>
          <w:bCs/>
          <w:szCs w:val="24"/>
        </w:rPr>
        <w:t xml:space="preserve"> Cahul</w:t>
      </w:r>
    </w:p>
    <w:sectPr w:rsidR="00C76B59" w:rsidRPr="00AA27A2" w:rsidSect="000004D1">
      <w:footerReference w:type="default" r:id="rId9"/>
      <w:pgSz w:w="11906" w:h="16838"/>
      <w:pgMar w:top="1134"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53F39" w14:textId="77777777" w:rsidR="00737F5A" w:rsidRDefault="00737F5A" w:rsidP="00116345">
      <w:pPr>
        <w:spacing w:after="0" w:line="240" w:lineRule="auto"/>
      </w:pPr>
      <w:r>
        <w:separator/>
      </w:r>
    </w:p>
  </w:endnote>
  <w:endnote w:type="continuationSeparator" w:id="0">
    <w:p w14:paraId="43EDFE20" w14:textId="77777777" w:rsidR="00737F5A" w:rsidRDefault="00737F5A" w:rsidP="0011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6EF2" w14:textId="77777777" w:rsidR="00116345" w:rsidRDefault="008A15CD" w:rsidP="008A15CD">
    <w:pPr>
      <w:pStyle w:val="Footer"/>
      <w:jc w:val="right"/>
      <w:rPr>
        <w:b/>
        <w:bCs/>
        <w:color w:val="808080" w:themeColor="background1" w:themeShade="80"/>
        <w:sz w:val="14"/>
        <w:szCs w:val="14"/>
      </w:rPr>
    </w:pPr>
    <w:r>
      <w:rPr>
        <w:b/>
        <w:bCs/>
        <w:color w:val="808080" w:themeColor="background1" w:themeShade="80"/>
        <w:sz w:val="14"/>
        <w:szCs w:val="14"/>
      </w:rPr>
      <w:t>APWs</w:t>
    </w:r>
    <w:r w:rsidR="00F37168">
      <w:rPr>
        <w:b/>
        <w:bCs/>
        <w:color w:val="808080" w:themeColor="background1" w:themeShade="80"/>
        <w:sz w:val="14"/>
        <w:szCs w:val="14"/>
      </w:rPr>
      <w:t>Cies</w:t>
    </w:r>
    <w:r w:rsidR="00116345" w:rsidRPr="00116345">
      <w:rPr>
        <w:b/>
        <w:bCs/>
        <w:color w:val="808080" w:themeColor="background1" w:themeShade="80"/>
        <w:sz w:val="14"/>
        <w:szCs w:val="14"/>
      </w:rPr>
      <w:t>_T</w:t>
    </w:r>
    <w:r>
      <w:rPr>
        <w:b/>
        <w:bCs/>
        <w:color w:val="808080" w:themeColor="background1" w:themeShade="80"/>
        <w:sz w:val="14"/>
        <w:szCs w:val="14"/>
      </w:rPr>
      <w:t>oRs</w:t>
    </w:r>
    <w:r w:rsidR="00116345" w:rsidRPr="00116345">
      <w:rPr>
        <w:b/>
        <w:bCs/>
        <w:color w:val="808080" w:themeColor="background1" w:themeShade="80"/>
        <w:sz w:val="14"/>
        <w:szCs w:val="14"/>
      </w:rPr>
      <w:t>Template_V</w:t>
    </w:r>
    <w:r>
      <w:rPr>
        <w:b/>
        <w:bCs/>
        <w:color w:val="808080" w:themeColor="background1" w:themeShade="80"/>
        <w:sz w:val="14"/>
        <w:szCs w:val="14"/>
      </w:rPr>
      <w:t>1</w:t>
    </w:r>
    <w:r w:rsidR="00116345" w:rsidRPr="00116345">
      <w:rPr>
        <w:b/>
        <w:bCs/>
        <w:color w:val="808080" w:themeColor="background1" w:themeShade="80"/>
        <w:sz w:val="14"/>
        <w:szCs w:val="14"/>
      </w:rPr>
      <w:t>_201</w:t>
    </w:r>
    <w:r>
      <w:rPr>
        <w:b/>
        <w:bCs/>
        <w:color w:val="808080" w:themeColor="background1" w:themeShade="80"/>
        <w:sz w:val="14"/>
        <w:szCs w:val="14"/>
      </w:rPr>
      <w:t>70329</w:t>
    </w:r>
    <w:r w:rsidR="00116345">
      <w:rPr>
        <w:b/>
        <w:bCs/>
        <w:color w:val="808080" w:themeColor="background1" w:themeShade="80"/>
        <w:sz w:val="14"/>
        <w:szCs w:val="14"/>
      </w:rPr>
      <w:t xml:space="preserve">  </w:t>
    </w:r>
  </w:p>
  <w:p w14:paraId="614BE346" w14:textId="77777777" w:rsidR="00116345" w:rsidRPr="00116345" w:rsidRDefault="00116345" w:rsidP="00116345">
    <w:pPr>
      <w:pStyle w:val="Footer"/>
      <w:jc w:val="right"/>
      <w:rPr>
        <w:b/>
        <w:bCs/>
        <w:color w:val="808080" w:themeColor="background1" w:themeShade="80"/>
        <w:sz w:val="14"/>
        <w:szCs w:val="14"/>
      </w:rPr>
    </w:pPr>
    <w:r w:rsidRPr="00116345">
      <w:rPr>
        <w:b/>
        <w:bCs/>
        <w:color w:val="808080" w:themeColor="background1" w:themeShade="80"/>
        <w:spacing w:val="60"/>
        <w:sz w:val="14"/>
        <w:szCs w:val="14"/>
      </w:rPr>
      <w:t>Page</w:t>
    </w:r>
    <w:r w:rsidRPr="00116345">
      <w:rPr>
        <w:b/>
        <w:bCs/>
        <w:color w:val="808080" w:themeColor="background1" w:themeShade="80"/>
        <w:sz w:val="14"/>
        <w:szCs w:val="14"/>
      </w:rPr>
      <w:t xml:space="preserve"> | </w:t>
    </w:r>
    <w:r w:rsidRPr="00116345">
      <w:rPr>
        <w:b/>
        <w:bCs/>
        <w:color w:val="808080" w:themeColor="background1" w:themeShade="80"/>
        <w:sz w:val="14"/>
        <w:szCs w:val="14"/>
      </w:rPr>
      <w:fldChar w:fldCharType="begin"/>
    </w:r>
    <w:r w:rsidRPr="00116345">
      <w:rPr>
        <w:b/>
        <w:bCs/>
        <w:color w:val="808080" w:themeColor="background1" w:themeShade="80"/>
        <w:sz w:val="14"/>
        <w:szCs w:val="14"/>
      </w:rPr>
      <w:instrText xml:space="preserve"> PAGE   \* MERGEFORMAT </w:instrText>
    </w:r>
    <w:r w:rsidRPr="00116345">
      <w:rPr>
        <w:b/>
        <w:bCs/>
        <w:color w:val="808080" w:themeColor="background1" w:themeShade="80"/>
        <w:sz w:val="14"/>
        <w:szCs w:val="14"/>
      </w:rPr>
      <w:fldChar w:fldCharType="separate"/>
    </w:r>
    <w:r w:rsidR="00E93504">
      <w:rPr>
        <w:b/>
        <w:bCs/>
        <w:noProof/>
        <w:color w:val="808080" w:themeColor="background1" w:themeShade="80"/>
        <w:sz w:val="14"/>
        <w:szCs w:val="14"/>
      </w:rPr>
      <w:t>2</w:t>
    </w:r>
    <w:r w:rsidRPr="00116345">
      <w:rPr>
        <w:b/>
        <w:bCs/>
        <w:noProof/>
        <w:color w:val="808080" w:themeColor="background1" w:themeShade="80"/>
        <w:sz w:val="14"/>
        <w:szCs w:val="14"/>
      </w:rPr>
      <w:fldChar w:fldCharType="end"/>
    </w:r>
  </w:p>
  <w:p w14:paraId="375AD876" w14:textId="77777777" w:rsidR="00116345" w:rsidRDefault="0011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CA2E" w14:textId="77777777" w:rsidR="00737F5A" w:rsidRDefault="00737F5A" w:rsidP="00116345">
      <w:pPr>
        <w:spacing w:after="0" w:line="240" w:lineRule="auto"/>
      </w:pPr>
      <w:r>
        <w:separator/>
      </w:r>
    </w:p>
  </w:footnote>
  <w:footnote w:type="continuationSeparator" w:id="0">
    <w:p w14:paraId="6C4AE6B2" w14:textId="77777777" w:rsidR="00737F5A" w:rsidRDefault="00737F5A" w:rsidP="00116345">
      <w:pPr>
        <w:spacing w:after="0" w:line="240" w:lineRule="auto"/>
      </w:pPr>
      <w:r>
        <w:continuationSeparator/>
      </w:r>
    </w:p>
  </w:footnote>
  <w:footnote w:id="1">
    <w:p w14:paraId="5B82C686" w14:textId="77777777" w:rsidR="008A15CD" w:rsidRDefault="008A15CD" w:rsidP="008A15CD">
      <w:pPr>
        <w:pStyle w:val="EndnoteText"/>
      </w:pPr>
      <w:r>
        <w:rPr>
          <w:rStyle w:val="FootnoteReference"/>
        </w:rPr>
        <w:footnoteRef/>
      </w:r>
      <w:r>
        <w:t xml:space="preserve"> </w:t>
      </w:r>
      <w:r w:rsidRPr="00AD3A15">
        <w:rPr>
          <w:color w:val="BFBFBF" w:themeColor="background1" w:themeShade="BF"/>
          <w:sz w:val="14"/>
          <w:szCs w:val="14"/>
        </w:rPr>
        <w:t xml:space="preserve">This template </w:t>
      </w:r>
      <w:r>
        <w:rPr>
          <w:color w:val="BFBFBF" w:themeColor="background1" w:themeShade="BF"/>
          <w:sz w:val="14"/>
          <w:szCs w:val="14"/>
        </w:rPr>
        <w:t>is only to be used for</w:t>
      </w:r>
      <w:r w:rsidRPr="00AD3A15">
        <w:rPr>
          <w:color w:val="BFBFBF" w:themeColor="background1" w:themeShade="BF"/>
          <w:sz w:val="14"/>
          <w:szCs w:val="14"/>
        </w:rPr>
        <w:t xml:space="preserve"> APWs granted to Companies, and </w:t>
      </w:r>
      <w:r w:rsidRPr="00AD3A15">
        <w:rPr>
          <w:color w:val="BFBFBF" w:themeColor="background1" w:themeShade="BF"/>
          <w:sz w:val="14"/>
          <w:szCs w:val="14"/>
          <w:u w:val="single"/>
        </w:rPr>
        <w:t>not</w:t>
      </w:r>
      <w:r w:rsidRPr="00AD3A15">
        <w:rPr>
          <w:color w:val="BFBFBF" w:themeColor="background1" w:themeShade="BF"/>
          <w:sz w:val="14"/>
          <w:szCs w:val="14"/>
        </w:rPr>
        <w:t xml:space="preserve"> </w:t>
      </w:r>
      <w:r>
        <w:rPr>
          <w:color w:val="BFBFBF" w:themeColor="background1" w:themeShade="BF"/>
          <w:sz w:val="14"/>
          <w:szCs w:val="14"/>
        </w:rPr>
        <w:t>for</w:t>
      </w:r>
      <w:r w:rsidRPr="00AD3A15">
        <w:rPr>
          <w:color w:val="BFBFBF" w:themeColor="background1" w:themeShade="BF"/>
          <w:sz w:val="14"/>
          <w:szCs w:val="14"/>
        </w:rPr>
        <w:t xml:space="preserve"> APWs granted to Individuals.</w:t>
      </w:r>
    </w:p>
    <w:p w14:paraId="4306E237" w14:textId="77777777" w:rsidR="008A15CD" w:rsidRDefault="008A15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472B7"/>
    <w:multiLevelType w:val="hybridMultilevel"/>
    <w:tmpl w:val="DAA6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419C0"/>
    <w:multiLevelType w:val="hybridMultilevel"/>
    <w:tmpl w:val="1FA42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941F2"/>
    <w:multiLevelType w:val="hybridMultilevel"/>
    <w:tmpl w:val="F8AA52A6"/>
    <w:lvl w:ilvl="0" w:tplc="B194F75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F2371"/>
    <w:multiLevelType w:val="hybridMultilevel"/>
    <w:tmpl w:val="A5005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856BC"/>
    <w:multiLevelType w:val="hybridMultilevel"/>
    <w:tmpl w:val="79EC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805AD3"/>
    <w:multiLevelType w:val="hybridMultilevel"/>
    <w:tmpl w:val="21C87DCC"/>
    <w:lvl w:ilvl="0" w:tplc="4790B620">
      <w:start w:val="2"/>
      <w:numFmt w:val="bullet"/>
      <w:lvlText w:val="−"/>
      <w:lvlJc w:val="left"/>
      <w:pPr>
        <w:ind w:left="720" w:hanging="360"/>
      </w:pPr>
      <w:rPr>
        <w:rFonts w:ascii="Garamond" w:eastAsia="SimSu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B2EFD"/>
    <w:multiLevelType w:val="hybridMultilevel"/>
    <w:tmpl w:val="7AEE6944"/>
    <w:lvl w:ilvl="0" w:tplc="93C8D1F6">
      <w:start w:val="5"/>
      <w:numFmt w:val="bullet"/>
      <w:lvlText w:val=""/>
      <w:lvlJc w:val="left"/>
      <w:pPr>
        <w:ind w:left="388" w:hanging="360"/>
      </w:pPr>
      <w:rPr>
        <w:rFonts w:ascii="Wingdings" w:eastAsiaTheme="minorHAnsi" w:hAnsi="Wingdings" w:cstheme="minorHAnsi"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7" w15:restartNumberingAfterBreak="0">
    <w:nsid w:val="6BF73003"/>
    <w:multiLevelType w:val="hybridMultilevel"/>
    <w:tmpl w:val="62F81EF8"/>
    <w:lvl w:ilvl="0" w:tplc="68A0306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6C3FBD"/>
    <w:multiLevelType w:val="hybridMultilevel"/>
    <w:tmpl w:val="CC764486"/>
    <w:lvl w:ilvl="0" w:tplc="68A0306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BF0F02"/>
    <w:multiLevelType w:val="hybridMultilevel"/>
    <w:tmpl w:val="0356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D42E50"/>
    <w:multiLevelType w:val="hybridMultilevel"/>
    <w:tmpl w:val="5232A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4"/>
  </w:num>
  <w:num w:numId="4">
    <w:abstractNumId w:val="1"/>
  </w:num>
  <w:num w:numId="5">
    <w:abstractNumId w:val="9"/>
  </w:num>
  <w:num w:numId="6">
    <w:abstractNumId w:val="3"/>
  </w:num>
  <w:num w:numId="7">
    <w:abstractNumId w:val="7"/>
  </w:num>
  <w:num w:numId="8">
    <w:abstractNumId w:val="6"/>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D1"/>
    <w:rsid w:val="000004D1"/>
    <w:rsid w:val="00051998"/>
    <w:rsid w:val="00086BB2"/>
    <w:rsid w:val="00116345"/>
    <w:rsid w:val="00116A84"/>
    <w:rsid w:val="00157977"/>
    <w:rsid w:val="001648E8"/>
    <w:rsid w:val="00185403"/>
    <w:rsid w:val="00196D7B"/>
    <w:rsid w:val="001D06C8"/>
    <w:rsid w:val="001F3ED9"/>
    <w:rsid w:val="00254115"/>
    <w:rsid w:val="002A53F6"/>
    <w:rsid w:val="002C1915"/>
    <w:rsid w:val="00320193"/>
    <w:rsid w:val="0034300D"/>
    <w:rsid w:val="00373B33"/>
    <w:rsid w:val="00454AF8"/>
    <w:rsid w:val="004B7773"/>
    <w:rsid w:val="004D3436"/>
    <w:rsid w:val="00544172"/>
    <w:rsid w:val="005C7657"/>
    <w:rsid w:val="00626B69"/>
    <w:rsid w:val="006816A5"/>
    <w:rsid w:val="00737F5A"/>
    <w:rsid w:val="0075541B"/>
    <w:rsid w:val="00763D80"/>
    <w:rsid w:val="0077203D"/>
    <w:rsid w:val="007A0D08"/>
    <w:rsid w:val="007A21A2"/>
    <w:rsid w:val="007E6EA0"/>
    <w:rsid w:val="00847D0B"/>
    <w:rsid w:val="00863AA3"/>
    <w:rsid w:val="008A15CD"/>
    <w:rsid w:val="008D61DE"/>
    <w:rsid w:val="008D6A2E"/>
    <w:rsid w:val="00924182"/>
    <w:rsid w:val="009439E6"/>
    <w:rsid w:val="00961D87"/>
    <w:rsid w:val="00992C92"/>
    <w:rsid w:val="009B4806"/>
    <w:rsid w:val="009E5D3E"/>
    <w:rsid w:val="009E5FD1"/>
    <w:rsid w:val="00A3608D"/>
    <w:rsid w:val="00A44C8C"/>
    <w:rsid w:val="00AA27A2"/>
    <w:rsid w:val="00AC164C"/>
    <w:rsid w:val="00AD0C16"/>
    <w:rsid w:val="00AF20FC"/>
    <w:rsid w:val="00AF3D92"/>
    <w:rsid w:val="00B13252"/>
    <w:rsid w:val="00B4478C"/>
    <w:rsid w:val="00B62B08"/>
    <w:rsid w:val="00B72587"/>
    <w:rsid w:val="00B8414B"/>
    <w:rsid w:val="00C05E37"/>
    <w:rsid w:val="00C2629E"/>
    <w:rsid w:val="00C37F4B"/>
    <w:rsid w:val="00C440C5"/>
    <w:rsid w:val="00C51175"/>
    <w:rsid w:val="00C529EE"/>
    <w:rsid w:val="00C53A91"/>
    <w:rsid w:val="00C76B59"/>
    <w:rsid w:val="00C84702"/>
    <w:rsid w:val="00CF48C5"/>
    <w:rsid w:val="00D41B47"/>
    <w:rsid w:val="00DD12DB"/>
    <w:rsid w:val="00DD4733"/>
    <w:rsid w:val="00E93504"/>
    <w:rsid w:val="00ED54FF"/>
    <w:rsid w:val="00EF3128"/>
    <w:rsid w:val="00F3293F"/>
    <w:rsid w:val="00F36895"/>
    <w:rsid w:val="00F37168"/>
    <w:rsid w:val="00FC4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E41AE"/>
  <w15:docId w15:val="{BD46CD7F-BE94-4BD1-900C-ED8BEE60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175"/>
    <w:pPr>
      <w:keepNext/>
      <w:keepLines/>
      <w:spacing w:before="360" w:after="0" w:line="240" w:lineRule="auto"/>
      <w:jc w:val="both"/>
      <w:outlineLvl w:val="0"/>
    </w:pPr>
    <w:rPr>
      <w:rFonts w:asciiTheme="majorHAnsi" w:eastAsiaTheme="majorEastAsia" w:hAnsiTheme="majorHAnsi" w:cstheme="majorBidi"/>
      <w:bCs/>
      <w:color w:val="4F81BD" w:themeColor="accent1"/>
      <w:spacing w:val="2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D1"/>
    <w:rPr>
      <w:rFonts w:ascii="Tahoma" w:hAnsi="Tahoma" w:cs="Tahoma"/>
      <w:sz w:val="16"/>
      <w:szCs w:val="16"/>
    </w:rPr>
  </w:style>
  <w:style w:type="table" w:styleId="TableGrid">
    <w:name w:val="Table Grid"/>
    <w:basedOn w:val="TableNormal"/>
    <w:uiPriority w:val="59"/>
    <w:rsid w:val="0000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04D1"/>
    <w:pPr>
      <w:ind w:left="720"/>
      <w:contextualSpacing/>
    </w:pPr>
  </w:style>
  <w:style w:type="paragraph" w:styleId="Header">
    <w:name w:val="header"/>
    <w:basedOn w:val="Normal"/>
    <w:link w:val="HeaderChar"/>
    <w:uiPriority w:val="99"/>
    <w:unhideWhenUsed/>
    <w:rsid w:val="00116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345"/>
  </w:style>
  <w:style w:type="paragraph" w:styleId="Footer">
    <w:name w:val="footer"/>
    <w:basedOn w:val="Normal"/>
    <w:link w:val="FooterChar"/>
    <w:unhideWhenUsed/>
    <w:rsid w:val="00116345"/>
    <w:pPr>
      <w:tabs>
        <w:tab w:val="center" w:pos="4513"/>
        <w:tab w:val="right" w:pos="9026"/>
      </w:tabs>
      <w:spacing w:after="0" w:line="240" w:lineRule="auto"/>
    </w:pPr>
  </w:style>
  <w:style w:type="character" w:customStyle="1" w:styleId="FooterChar">
    <w:name w:val="Footer Char"/>
    <w:basedOn w:val="DefaultParagraphFont"/>
    <w:link w:val="Footer"/>
    <w:rsid w:val="00116345"/>
  </w:style>
  <w:style w:type="character" w:customStyle="1" w:styleId="Heading1Char">
    <w:name w:val="Heading 1 Char"/>
    <w:basedOn w:val="DefaultParagraphFont"/>
    <w:link w:val="Heading1"/>
    <w:uiPriority w:val="9"/>
    <w:rsid w:val="00C51175"/>
    <w:rPr>
      <w:rFonts w:asciiTheme="majorHAnsi" w:eastAsiaTheme="majorEastAsia" w:hAnsiTheme="majorHAnsi" w:cstheme="majorBidi"/>
      <w:bCs/>
      <w:color w:val="4F81BD" w:themeColor="accent1"/>
      <w:spacing w:val="20"/>
      <w:sz w:val="32"/>
      <w:szCs w:val="28"/>
    </w:rPr>
  </w:style>
  <w:style w:type="paragraph" w:styleId="FootnoteText">
    <w:name w:val="footnote text"/>
    <w:basedOn w:val="Normal"/>
    <w:link w:val="FootnoteTextChar"/>
    <w:uiPriority w:val="99"/>
    <w:semiHidden/>
    <w:unhideWhenUsed/>
    <w:rsid w:val="008A15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5CD"/>
    <w:rPr>
      <w:sz w:val="20"/>
      <w:szCs w:val="20"/>
    </w:rPr>
  </w:style>
  <w:style w:type="character" w:styleId="FootnoteReference">
    <w:name w:val="footnote reference"/>
    <w:basedOn w:val="DefaultParagraphFont"/>
    <w:uiPriority w:val="99"/>
    <w:semiHidden/>
    <w:unhideWhenUsed/>
    <w:rsid w:val="008A15CD"/>
    <w:rPr>
      <w:vertAlign w:val="superscript"/>
    </w:rPr>
  </w:style>
  <w:style w:type="paragraph" w:styleId="EndnoteText">
    <w:name w:val="endnote text"/>
    <w:basedOn w:val="Normal"/>
    <w:link w:val="EndnoteTextChar"/>
    <w:uiPriority w:val="99"/>
    <w:semiHidden/>
    <w:unhideWhenUsed/>
    <w:rsid w:val="008A15CD"/>
    <w:pPr>
      <w:spacing w:after="0" w:line="240" w:lineRule="auto"/>
    </w:pPr>
    <w:rPr>
      <w:rFonts w:eastAsia="MS Mincho"/>
      <w:sz w:val="20"/>
      <w:szCs w:val="20"/>
    </w:rPr>
  </w:style>
  <w:style w:type="character" w:customStyle="1" w:styleId="EndnoteTextChar">
    <w:name w:val="Endnote Text Char"/>
    <w:basedOn w:val="DefaultParagraphFont"/>
    <w:link w:val="EndnoteText"/>
    <w:uiPriority w:val="99"/>
    <w:semiHidden/>
    <w:rsid w:val="008A15CD"/>
    <w:rPr>
      <w:rFonts w:eastAsia="MS Mincho"/>
      <w:sz w:val="20"/>
      <w:szCs w:val="20"/>
    </w:rPr>
  </w:style>
  <w:style w:type="character" w:styleId="EndnoteReference">
    <w:name w:val="endnote reference"/>
    <w:basedOn w:val="DefaultParagraphFont"/>
    <w:uiPriority w:val="99"/>
    <w:semiHidden/>
    <w:unhideWhenUsed/>
    <w:rsid w:val="008A15CD"/>
    <w:rPr>
      <w:vertAlign w:val="superscript"/>
    </w:rPr>
  </w:style>
  <w:style w:type="character" w:styleId="CommentReference">
    <w:name w:val="annotation reference"/>
    <w:basedOn w:val="DefaultParagraphFont"/>
    <w:uiPriority w:val="99"/>
    <w:semiHidden/>
    <w:unhideWhenUsed/>
    <w:rsid w:val="00B8414B"/>
    <w:rPr>
      <w:sz w:val="16"/>
      <w:szCs w:val="16"/>
    </w:rPr>
  </w:style>
  <w:style w:type="paragraph" w:styleId="CommentText">
    <w:name w:val="annotation text"/>
    <w:basedOn w:val="Normal"/>
    <w:link w:val="CommentTextChar"/>
    <w:uiPriority w:val="99"/>
    <w:semiHidden/>
    <w:unhideWhenUsed/>
    <w:rsid w:val="00B8414B"/>
    <w:pPr>
      <w:spacing w:line="240" w:lineRule="auto"/>
    </w:pPr>
    <w:rPr>
      <w:sz w:val="20"/>
      <w:szCs w:val="20"/>
    </w:rPr>
  </w:style>
  <w:style w:type="character" w:customStyle="1" w:styleId="CommentTextChar">
    <w:name w:val="Comment Text Char"/>
    <w:basedOn w:val="DefaultParagraphFont"/>
    <w:link w:val="CommentText"/>
    <w:uiPriority w:val="99"/>
    <w:semiHidden/>
    <w:rsid w:val="00B8414B"/>
    <w:rPr>
      <w:sz w:val="20"/>
      <w:szCs w:val="20"/>
    </w:rPr>
  </w:style>
  <w:style w:type="paragraph" w:styleId="CommentSubject">
    <w:name w:val="annotation subject"/>
    <w:basedOn w:val="CommentText"/>
    <w:next w:val="CommentText"/>
    <w:link w:val="CommentSubjectChar"/>
    <w:uiPriority w:val="99"/>
    <w:semiHidden/>
    <w:unhideWhenUsed/>
    <w:rsid w:val="00B8414B"/>
    <w:rPr>
      <w:b/>
      <w:bCs/>
    </w:rPr>
  </w:style>
  <w:style w:type="character" w:customStyle="1" w:styleId="CommentSubjectChar">
    <w:name w:val="Comment Subject Char"/>
    <w:basedOn w:val="CommentTextChar"/>
    <w:link w:val="CommentSubject"/>
    <w:uiPriority w:val="99"/>
    <w:semiHidden/>
    <w:rsid w:val="00B84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220086">
      <w:bodyDiv w:val="1"/>
      <w:marLeft w:val="0"/>
      <w:marRight w:val="0"/>
      <w:marTop w:val="0"/>
      <w:marBottom w:val="0"/>
      <w:divBdr>
        <w:top w:val="none" w:sz="0" w:space="0" w:color="auto"/>
        <w:left w:val="none" w:sz="0" w:space="0" w:color="auto"/>
        <w:bottom w:val="none" w:sz="0" w:space="0" w:color="auto"/>
        <w:right w:val="none" w:sz="0" w:space="0" w:color="auto"/>
      </w:divBdr>
      <w:divsChild>
        <w:div w:id="264313650">
          <w:marLeft w:val="0"/>
          <w:marRight w:val="0"/>
          <w:marTop w:val="0"/>
          <w:marBottom w:val="0"/>
          <w:divBdr>
            <w:top w:val="none" w:sz="0" w:space="0" w:color="auto"/>
            <w:left w:val="none" w:sz="0" w:space="0" w:color="auto"/>
            <w:bottom w:val="none" w:sz="0" w:space="0" w:color="auto"/>
            <w:right w:val="none" w:sz="0" w:space="0" w:color="auto"/>
          </w:divBdr>
        </w:div>
        <w:div w:id="1243879867">
          <w:marLeft w:val="0"/>
          <w:marRight w:val="0"/>
          <w:marTop w:val="0"/>
          <w:marBottom w:val="0"/>
          <w:divBdr>
            <w:top w:val="none" w:sz="0" w:space="0" w:color="auto"/>
            <w:left w:val="none" w:sz="0" w:space="0" w:color="auto"/>
            <w:bottom w:val="none" w:sz="0" w:space="0" w:color="auto"/>
            <w:right w:val="none" w:sz="0" w:space="0" w:color="auto"/>
          </w:divBdr>
        </w:div>
        <w:div w:id="696079046">
          <w:marLeft w:val="0"/>
          <w:marRight w:val="0"/>
          <w:marTop w:val="0"/>
          <w:marBottom w:val="0"/>
          <w:divBdr>
            <w:top w:val="none" w:sz="0" w:space="0" w:color="auto"/>
            <w:left w:val="none" w:sz="0" w:space="0" w:color="auto"/>
            <w:bottom w:val="none" w:sz="0" w:space="0" w:color="auto"/>
            <w:right w:val="none" w:sz="0" w:space="0" w:color="auto"/>
          </w:divBdr>
        </w:div>
      </w:divsChild>
    </w:div>
    <w:div w:id="1064912359">
      <w:bodyDiv w:val="1"/>
      <w:marLeft w:val="0"/>
      <w:marRight w:val="0"/>
      <w:marTop w:val="0"/>
      <w:marBottom w:val="0"/>
      <w:divBdr>
        <w:top w:val="none" w:sz="0" w:space="0" w:color="auto"/>
        <w:left w:val="none" w:sz="0" w:space="0" w:color="auto"/>
        <w:bottom w:val="none" w:sz="0" w:space="0" w:color="auto"/>
        <w:right w:val="none" w:sz="0" w:space="0" w:color="auto"/>
      </w:divBdr>
    </w:div>
    <w:div w:id="1627929479">
      <w:bodyDiv w:val="1"/>
      <w:marLeft w:val="0"/>
      <w:marRight w:val="0"/>
      <w:marTop w:val="0"/>
      <w:marBottom w:val="0"/>
      <w:divBdr>
        <w:top w:val="none" w:sz="0" w:space="0" w:color="auto"/>
        <w:left w:val="none" w:sz="0" w:space="0" w:color="auto"/>
        <w:bottom w:val="none" w:sz="0" w:space="0" w:color="auto"/>
        <w:right w:val="none" w:sz="0" w:space="0" w:color="auto"/>
      </w:divBdr>
      <w:divsChild>
        <w:div w:id="1739085609">
          <w:marLeft w:val="0"/>
          <w:marRight w:val="0"/>
          <w:marTop w:val="0"/>
          <w:marBottom w:val="0"/>
          <w:divBdr>
            <w:top w:val="none" w:sz="0" w:space="0" w:color="auto"/>
            <w:left w:val="none" w:sz="0" w:space="0" w:color="auto"/>
            <w:bottom w:val="none" w:sz="0" w:space="0" w:color="auto"/>
            <w:right w:val="none" w:sz="0" w:space="0" w:color="auto"/>
          </w:divBdr>
        </w:div>
        <w:div w:id="1510480947">
          <w:marLeft w:val="0"/>
          <w:marRight w:val="0"/>
          <w:marTop w:val="0"/>
          <w:marBottom w:val="0"/>
          <w:divBdr>
            <w:top w:val="none" w:sz="0" w:space="0" w:color="auto"/>
            <w:left w:val="none" w:sz="0" w:space="0" w:color="auto"/>
            <w:bottom w:val="none" w:sz="0" w:space="0" w:color="auto"/>
            <w:right w:val="none" w:sz="0" w:space="0" w:color="auto"/>
          </w:divBdr>
        </w:div>
      </w:divsChild>
    </w:div>
    <w:div w:id="1924878755">
      <w:bodyDiv w:val="1"/>
      <w:marLeft w:val="0"/>
      <w:marRight w:val="0"/>
      <w:marTop w:val="0"/>
      <w:marBottom w:val="0"/>
      <w:divBdr>
        <w:top w:val="none" w:sz="0" w:space="0" w:color="auto"/>
        <w:left w:val="none" w:sz="0" w:space="0" w:color="auto"/>
        <w:bottom w:val="none" w:sz="0" w:space="0" w:color="auto"/>
        <w:right w:val="none" w:sz="0" w:space="0" w:color="auto"/>
      </w:divBdr>
    </w:div>
    <w:div w:id="20905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1798-8C51-4AB1-9B0B-A2B6B249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GOLAN, Svetlana</cp:lastModifiedBy>
  <cp:revision>3</cp:revision>
  <dcterms:created xsi:type="dcterms:W3CDTF">2021-11-23T08:05:00Z</dcterms:created>
  <dcterms:modified xsi:type="dcterms:W3CDTF">2021-11-23T08:06:00Z</dcterms:modified>
</cp:coreProperties>
</file>